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F1FF3" w14:textId="77777777" w:rsidR="00533CD6" w:rsidRPr="004447DE" w:rsidRDefault="00533CD6" w:rsidP="006F6D4E">
      <w:pPr>
        <w:pStyle w:val="Heading1"/>
        <w:keepNext w:val="0"/>
        <w:keepLines w:val="0"/>
        <w:widowControl w:val="0"/>
        <w:rPr>
          <w:sz w:val="24"/>
        </w:rPr>
      </w:pPr>
    </w:p>
    <w:p w14:paraId="57730078" w14:textId="43BD958B" w:rsidR="00533CD6" w:rsidRPr="008D3969" w:rsidRDefault="00533CD6" w:rsidP="007363F7">
      <w:pPr>
        <w:pStyle w:val="ContactDetails"/>
        <w:keepLines/>
        <w:widowControl w:val="0"/>
        <w:jc w:val="center"/>
        <w:rPr>
          <w:rFonts w:asciiTheme="majorHAnsi" w:eastAsiaTheme="majorEastAsia" w:hAnsiTheme="majorHAnsi" w:cstheme="majorBidi"/>
          <w:b/>
          <w:smallCaps/>
          <w:color w:val="auto"/>
          <w:sz w:val="32"/>
          <w:szCs w:val="32"/>
        </w:rPr>
      </w:pPr>
      <w:r w:rsidRPr="008D3969">
        <w:rPr>
          <w:rFonts w:asciiTheme="majorHAnsi" w:eastAsiaTheme="majorEastAsia" w:hAnsiTheme="majorHAnsi" w:cstheme="majorBidi"/>
          <w:b/>
          <w:smallCaps/>
          <w:color w:val="auto"/>
          <w:sz w:val="32"/>
          <w:szCs w:val="32"/>
        </w:rPr>
        <w:t>Omari Scott Simmons</w:t>
      </w:r>
    </w:p>
    <w:p w14:paraId="71E5D175" w14:textId="77777777" w:rsidR="00533CD6" w:rsidRPr="00525CA1" w:rsidRDefault="00533CD6" w:rsidP="007363F7">
      <w:pPr>
        <w:pStyle w:val="ContactDetails"/>
        <w:keepLines/>
        <w:widowControl w:val="0"/>
        <w:jc w:val="center"/>
        <w:rPr>
          <w:rFonts w:asciiTheme="majorHAnsi" w:eastAsiaTheme="majorEastAsia" w:hAnsiTheme="majorHAnsi" w:cstheme="majorBidi"/>
          <w:color w:val="auto"/>
          <w:sz w:val="24"/>
          <w:szCs w:val="24"/>
        </w:rPr>
      </w:pPr>
      <w:r w:rsidRPr="00525CA1">
        <w:rPr>
          <w:rFonts w:asciiTheme="majorHAnsi" w:eastAsiaTheme="majorEastAsia" w:hAnsiTheme="majorHAnsi" w:cstheme="majorBidi"/>
          <w:color w:val="auto"/>
          <w:sz w:val="24"/>
          <w:szCs w:val="24"/>
        </w:rPr>
        <w:t>Wake Forest University School of Law</w:t>
      </w:r>
    </w:p>
    <w:p w14:paraId="18A17BDA" w14:textId="77777777" w:rsidR="00533CD6" w:rsidRDefault="00533CD6" w:rsidP="007363F7">
      <w:pPr>
        <w:pStyle w:val="ContactDetails"/>
        <w:keepLines/>
        <w:widowControl w:val="0"/>
        <w:jc w:val="center"/>
        <w:rPr>
          <w:rFonts w:asciiTheme="majorHAnsi" w:eastAsiaTheme="majorEastAsia" w:hAnsiTheme="majorHAnsi" w:cstheme="majorBidi"/>
          <w:color w:val="auto"/>
          <w:sz w:val="24"/>
          <w:szCs w:val="24"/>
        </w:rPr>
      </w:pPr>
      <w:r>
        <w:rPr>
          <w:rFonts w:asciiTheme="majorHAnsi" w:eastAsiaTheme="majorEastAsia" w:hAnsiTheme="majorHAnsi" w:cstheme="majorBidi"/>
          <w:color w:val="auto"/>
          <w:sz w:val="24"/>
          <w:szCs w:val="24"/>
        </w:rPr>
        <w:t>P.O. BOX 7206</w:t>
      </w:r>
    </w:p>
    <w:p w14:paraId="061927E6" w14:textId="77777777" w:rsidR="00533CD6" w:rsidRDefault="00533CD6" w:rsidP="007363F7">
      <w:pPr>
        <w:pStyle w:val="ContactDetails"/>
        <w:keepLines/>
        <w:widowControl w:val="0"/>
        <w:jc w:val="center"/>
        <w:rPr>
          <w:rFonts w:asciiTheme="majorHAnsi" w:eastAsiaTheme="majorEastAsia" w:hAnsiTheme="majorHAnsi" w:cstheme="majorBidi"/>
          <w:color w:val="auto"/>
          <w:sz w:val="24"/>
          <w:szCs w:val="24"/>
        </w:rPr>
      </w:pPr>
      <w:r>
        <w:rPr>
          <w:rFonts w:asciiTheme="majorHAnsi" w:eastAsiaTheme="majorEastAsia" w:hAnsiTheme="majorHAnsi" w:cstheme="majorBidi"/>
          <w:color w:val="auto"/>
          <w:sz w:val="24"/>
          <w:szCs w:val="24"/>
        </w:rPr>
        <w:t>Winston-Salem, NC 27106</w:t>
      </w:r>
    </w:p>
    <w:p w14:paraId="0E1C63E5" w14:textId="77777777" w:rsidR="00533CD6" w:rsidRDefault="00533CD6" w:rsidP="007363F7">
      <w:pPr>
        <w:pStyle w:val="ContactDetails"/>
        <w:keepLines/>
        <w:widowControl w:val="0"/>
        <w:jc w:val="center"/>
        <w:rPr>
          <w:rFonts w:asciiTheme="majorHAnsi" w:eastAsiaTheme="majorEastAsia" w:hAnsiTheme="majorHAnsi" w:cstheme="majorBidi"/>
          <w:color w:val="auto"/>
          <w:sz w:val="24"/>
          <w:szCs w:val="24"/>
        </w:rPr>
      </w:pPr>
      <w:r>
        <w:rPr>
          <w:rFonts w:asciiTheme="majorHAnsi" w:eastAsiaTheme="majorEastAsia" w:hAnsiTheme="majorHAnsi" w:cstheme="majorBidi"/>
          <w:color w:val="auto"/>
          <w:sz w:val="24"/>
          <w:szCs w:val="24"/>
        </w:rPr>
        <w:t>(336) 758-4493</w:t>
      </w:r>
    </w:p>
    <w:p w14:paraId="72310AA6" w14:textId="53FAC523" w:rsidR="00533CD6" w:rsidRDefault="008362A6" w:rsidP="007363F7">
      <w:pPr>
        <w:pStyle w:val="ContactDetails"/>
        <w:keepLines/>
        <w:widowControl w:val="0"/>
        <w:jc w:val="center"/>
        <w:rPr>
          <w:rStyle w:val="Hyperlink"/>
          <w:rFonts w:asciiTheme="majorHAnsi" w:eastAsiaTheme="majorEastAsia" w:hAnsiTheme="majorHAnsi" w:cstheme="majorBidi"/>
          <w:sz w:val="24"/>
          <w:szCs w:val="24"/>
        </w:rPr>
      </w:pPr>
      <w:hyperlink r:id="rId8" w:history="1">
        <w:r w:rsidR="00533CD6" w:rsidRPr="00611A6C">
          <w:rPr>
            <w:rStyle w:val="Hyperlink"/>
            <w:rFonts w:asciiTheme="majorHAnsi" w:eastAsiaTheme="majorEastAsia" w:hAnsiTheme="majorHAnsi" w:cstheme="majorBidi"/>
            <w:sz w:val="24"/>
            <w:szCs w:val="24"/>
          </w:rPr>
          <w:t>simmonos@wfu.edu</w:t>
        </w:r>
      </w:hyperlink>
    </w:p>
    <w:p w14:paraId="5669AF2C" w14:textId="77777777" w:rsidR="009273F4" w:rsidRPr="00844D8F" w:rsidRDefault="009273F4" w:rsidP="007363F7">
      <w:pPr>
        <w:pStyle w:val="ContactDetails"/>
        <w:keepLines/>
        <w:widowControl w:val="0"/>
        <w:jc w:val="center"/>
        <w:rPr>
          <w:rFonts w:asciiTheme="majorHAnsi" w:eastAsiaTheme="majorEastAsia" w:hAnsiTheme="majorHAnsi" w:cstheme="majorBidi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355"/>
        <w:gridCol w:w="8697"/>
      </w:tblGrid>
      <w:tr w:rsidR="00895812" w14:paraId="692E6302" w14:textId="77777777" w:rsidTr="003F4F30">
        <w:tc>
          <w:tcPr>
            <w:tcW w:w="1892" w:type="dxa"/>
          </w:tcPr>
          <w:p w14:paraId="2DF27D40" w14:textId="77777777" w:rsidR="00533CD6" w:rsidRPr="00533CD6" w:rsidRDefault="00533CD6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 w:rsidRPr="00533CD6">
              <w:rPr>
                <w:smallCaps/>
                <w:color w:val="auto"/>
                <w:sz w:val="24"/>
              </w:rPr>
              <w:t>Legal</w:t>
            </w:r>
          </w:p>
          <w:p w14:paraId="5A7BE488" w14:textId="4ABBCB67" w:rsidR="00533CD6" w:rsidRDefault="00533CD6" w:rsidP="007363F7">
            <w:pPr>
              <w:pStyle w:val="SpaceBetween"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33CD6">
              <w:rPr>
                <w:b/>
                <w:smallCaps/>
                <w:sz w:val="24"/>
              </w:rPr>
              <w:t>Employment</w:t>
            </w:r>
          </w:p>
        </w:tc>
        <w:tc>
          <w:tcPr>
            <w:tcW w:w="355" w:type="dxa"/>
          </w:tcPr>
          <w:p w14:paraId="5DFB2B91" w14:textId="77777777" w:rsidR="00533CD6" w:rsidRDefault="00533CD6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3EA79E55" w14:textId="5AB175BD" w:rsidR="00533CD6" w:rsidRDefault="00533CD6" w:rsidP="007363F7">
            <w:pPr>
              <w:keepLines/>
              <w:widowControl w:val="0"/>
              <w:rPr>
                <w:rFonts w:ascii="Garamond" w:hAnsi="Garamond"/>
              </w:rPr>
            </w:pPr>
            <w:r w:rsidRPr="004447DE">
              <w:rPr>
                <w:rFonts w:ascii="Garamond" w:hAnsi="Garamond"/>
                <w:b/>
                <w:bCs/>
                <w:smallCaps/>
              </w:rPr>
              <w:t>Wake Forest University School of Law</w:t>
            </w:r>
            <w:r w:rsidRPr="004447DE">
              <w:rPr>
                <w:rFonts w:ascii="Garamond" w:hAnsi="Garamond"/>
                <w:b/>
              </w:rPr>
              <w:t xml:space="preserve">, </w:t>
            </w:r>
            <w:r w:rsidRPr="004447DE">
              <w:rPr>
                <w:rFonts w:ascii="Garamond" w:hAnsi="Garamond"/>
                <w:i/>
              </w:rPr>
              <w:t>Winston-Salem, NC</w:t>
            </w:r>
          </w:p>
          <w:p w14:paraId="3F71EABC" w14:textId="77777777" w:rsidR="00533CD6" w:rsidRDefault="00533CD6" w:rsidP="007363F7">
            <w:pPr>
              <w:keepLines/>
              <w:widowControl w:val="0"/>
              <w:ind w:righ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Director of Business Law Program, 2015-present </w:t>
            </w:r>
          </w:p>
          <w:p w14:paraId="10470F8F" w14:textId="77777777" w:rsidR="00533CD6" w:rsidRPr="005247AD" w:rsidRDefault="00533CD6" w:rsidP="007363F7">
            <w:pPr>
              <w:keepLines/>
              <w:widowControl w:val="0"/>
              <w:ind w:right="720"/>
              <w:rPr>
                <w:rFonts w:asciiTheme="minorHAnsi" w:hAnsiTheme="minorHAnsi"/>
              </w:rPr>
            </w:pPr>
            <w:r w:rsidRPr="005247AD">
              <w:rPr>
                <w:rFonts w:asciiTheme="minorHAnsi" w:eastAsia="Times New Roman" w:hAnsiTheme="minorHAnsi"/>
              </w:rPr>
              <w:t xml:space="preserve">Howard L. </w:t>
            </w:r>
            <w:proofErr w:type="spellStart"/>
            <w:r w:rsidRPr="005247AD">
              <w:rPr>
                <w:rFonts w:asciiTheme="minorHAnsi" w:eastAsia="Times New Roman" w:hAnsiTheme="minorHAnsi"/>
              </w:rPr>
              <w:t>Oleck</w:t>
            </w:r>
            <w:proofErr w:type="spellEnd"/>
            <w:r w:rsidRPr="005247AD">
              <w:rPr>
                <w:rFonts w:asciiTheme="minorHAnsi" w:eastAsia="Times New Roman" w:hAnsiTheme="minorHAnsi"/>
              </w:rPr>
              <w:t xml:space="preserve"> Professor of Business Law, 2017-present</w:t>
            </w:r>
          </w:p>
          <w:p w14:paraId="112C8B96" w14:textId="77777777" w:rsidR="00533CD6" w:rsidRPr="004447DE" w:rsidRDefault="00533CD6" w:rsidP="007363F7">
            <w:pPr>
              <w:keepLines/>
              <w:widowControl w:val="0"/>
              <w:ind w:right="720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>Professor of Law</w:t>
            </w:r>
            <w:r>
              <w:rPr>
                <w:rFonts w:ascii="Garamond" w:hAnsi="Garamond"/>
              </w:rPr>
              <w:t>, 2012-2017</w:t>
            </w:r>
          </w:p>
          <w:p w14:paraId="74F3BA87" w14:textId="77777777" w:rsidR="00533CD6" w:rsidRPr="004447DE" w:rsidRDefault="00533CD6" w:rsidP="007363F7">
            <w:pPr>
              <w:pStyle w:val="BodyText"/>
              <w:keepLines/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4447DE">
              <w:rPr>
                <w:color w:val="auto"/>
                <w:sz w:val="24"/>
                <w:szCs w:val="24"/>
              </w:rPr>
              <w:t>Associate Professor of Law, 2009-2012</w:t>
            </w:r>
          </w:p>
          <w:p w14:paraId="4547C05C" w14:textId="77777777" w:rsidR="00533CD6" w:rsidRDefault="00533CD6" w:rsidP="007363F7">
            <w:pPr>
              <w:pStyle w:val="BodyText"/>
              <w:keepLines/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4447DE">
              <w:rPr>
                <w:color w:val="auto"/>
                <w:sz w:val="24"/>
                <w:szCs w:val="24"/>
              </w:rPr>
              <w:t>Assistant Professor of Law, 2006-2009</w:t>
            </w:r>
          </w:p>
          <w:p w14:paraId="6CAB51E0" w14:textId="77777777" w:rsidR="00533CD6" w:rsidRDefault="00533CD6" w:rsidP="007363F7">
            <w:pPr>
              <w:pStyle w:val="BodyText"/>
              <w:keepLines/>
              <w:widowControl w:val="0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Director, London Summer Program, Summer 2016</w:t>
            </w:r>
          </w:p>
          <w:p w14:paraId="0370F105" w14:textId="77777777" w:rsidR="00533CD6" w:rsidRPr="006F6D4E" w:rsidRDefault="00533CD6" w:rsidP="007363F7">
            <w:pPr>
              <w:pStyle w:val="BodyText"/>
              <w:keepLines/>
              <w:widowControl w:val="0"/>
              <w:spacing w:after="0"/>
              <w:rPr>
                <w:color w:val="auto"/>
                <w:szCs w:val="18"/>
              </w:rPr>
            </w:pPr>
          </w:p>
          <w:p w14:paraId="1EDAFCFF" w14:textId="77777777" w:rsidR="00533CD6" w:rsidRPr="004B6FEE" w:rsidRDefault="00533CD6" w:rsidP="007363F7">
            <w:pPr>
              <w:pStyle w:val="BodyText"/>
              <w:keepLines/>
              <w:widowControl w:val="0"/>
              <w:spacing w:after="0"/>
              <w:ind w:right="-179"/>
              <w:rPr>
                <w:i/>
                <w:color w:val="auto"/>
                <w:sz w:val="23"/>
                <w:szCs w:val="23"/>
              </w:rPr>
            </w:pPr>
            <w:r w:rsidRPr="004B6FEE">
              <w:rPr>
                <w:b/>
                <w:smallCaps/>
                <w:color w:val="auto"/>
                <w:sz w:val="24"/>
                <w:szCs w:val="24"/>
              </w:rPr>
              <w:t>University of Maryland Francis King Carey School of Law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4B6FEE">
              <w:rPr>
                <w:i/>
                <w:color w:val="auto"/>
                <w:sz w:val="23"/>
                <w:szCs w:val="23"/>
              </w:rPr>
              <w:t xml:space="preserve">Baltimore, </w:t>
            </w:r>
            <w:r>
              <w:rPr>
                <w:i/>
                <w:color w:val="auto"/>
                <w:sz w:val="23"/>
                <w:szCs w:val="23"/>
              </w:rPr>
              <w:t>MD</w:t>
            </w:r>
          </w:p>
          <w:p w14:paraId="5228949C" w14:textId="77777777" w:rsidR="00533CD6" w:rsidRDefault="00533CD6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Visiting Professor of Law, Fall 2013-Spring 2014</w:t>
            </w:r>
          </w:p>
          <w:p w14:paraId="79D9F391" w14:textId="77777777" w:rsidR="00533CD6" w:rsidRPr="006F6D4E" w:rsidRDefault="00533CD6" w:rsidP="007363F7">
            <w:pPr>
              <w:keepLines/>
              <w:widowControl w:val="0"/>
              <w:rPr>
                <w:rFonts w:ascii="Garamond" w:hAnsi="Garamond"/>
                <w:sz w:val="18"/>
                <w:szCs w:val="18"/>
              </w:rPr>
            </w:pPr>
          </w:p>
          <w:p w14:paraId="39620C25" w14:textId="449688DE" w:rsidR="00533CD6" w:rsidRPr="004447DE" w:rsidRDefault="00533CD6" w:rsidP="007363F7">
            <w:pPr>
              <w:keepLines/>
              <w:widowControl w:val="0"/>
              <w:rPr>
                <w:rFonts w:ascii="Garamond" w:hAnsi="Garamond"/>
                <w:b/>
              </w:rPr>
            </w:pPr>
            <w:r w:rsidRPr="004447DE">
              <w:rPr>
                <w:rFonts w:ascii="Garamond" w:hAnsi="Garamond"/>
                <w:b/>
                <w:bCs/>
                <w:smallCaps/>
              </w:rPr>
              <w:t>Lenovo</w:t>
            </w:r>
            <w:r w:rsidRPr="004447DE">
              <w:rPr>
                <w:rFonts w:ascii="Garamond" w:hAnsi="Garamond"/>
                <w:b/>
              </w:rPr>
              <w:t xml:space="preserve">, </w:t>
            </w:r>
            <w:r w:rsidRPr="004447DE">
              <w:rPr>
                <w:rFonts w:ascii="Garamond" w:hAnsi="Garamond"/>
                <w:i/>
              </w:rPr>
              <w:t>Washington, DC</w:t>
            </w:r>
          </w:p>
          <w:p w14:paraId="0178B4B2" w14:textId="77777777" w:rsidR="00533CD6" w:rsidRPr="004447DE" w:rsidRDefault="00533CD6" w:rsidP="007363F7">
            <w:pPr>
              <w:keepLines/>
              <w:widowControl w:val="0"/>
              <w:ind w:left="990" w:right="720" w:hanging="990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>Senior Counsel, 2005-2006</w:t>
            </w:r>
          </w:p>
          <w:p w14:paraId="0EB8CE8F" w14:textId="40A165F3" w:rsidR="00533CD6" w:rsidRPr="006F6D4E" w:rsidRDefault="00533CD6" w:rsidP="007363F7">
            <w:pPr>
              <w:keepLines/>
              <w:widowControl w:val="0"/>
              <w:ind w:right="720"/>
              <w:rPr>
                <w:rFonts w:ascii="Garamond" w:hAnsi="Garamond"/>
                <w:sz w:val="18"/>
                <w:szCs w:val="18"/>
              </w:rPr>
            </w:pPr>
          </w:p>
          <w:p w14:paraId="62D8F8C6" w14:textId="5E0D9732" w:rsidR="00533CD6" w:rsidRDefault="00533CD6" w:rsidP="007363F7">
            <w:pPr>
              <w:keepLines/>
              <w:widowControl w:val="0"/>
              <w:rPr>
                <w:rFonts w:ascii="Garamond" w:hAnsi="Garamond"/>
                <w:b/>
              </w:rPr>
            </w:pPr>
            <w:proofErr w:type="spellStart"/>
            <w:r w:rsidRPr="004447DE">
              <w:rPr>
                <w:rFonts w:ascii="Garamond" w:hAnsi="Garamond"/>
                <w:b/>
                <w:bCs/>
                <w:smallCaps/>
              </w:rPr>
              <w:t>Invista</w:t>
            </w:r>
            <w:proofErr w:type="spellEnd"/>
            <w:r w:rsidRPr="004447DE">
              <w:rPr>
                <w:rFonts w:ascii="Garamond" w:hAnsi="Garamond" w:cs="Arial"/>
                <w:b/>
                <w:color w:val="000000"/>
              </w:rPr>
              <w:t>,</w:t>
            </w:r>
            <w:r w:rsidRPr="004447DE">
              <w:rPr>
                <w:rFonts w:ascii="Garamond" w:hAnsi="Garamond"/>
                <w:b/>
              </w:rPr>
              <w:t xml:space="preserve"> </w:t>
            </w:r>
            <w:r w:rsidRPr="004447DE">
              <w:rPr>
                <w:rFonts w:ascii="Garamond" w:hAnsi="Garamond"/>
                <w:bCs/>
                <w:i/>
                <w:iCs/>
              </w:rPr>
              <w:t>Wilmington, DE</w:t>
            </w:r>
          </w:p>
          <w:p w14:paraId="38CCAB72" w14:textId="77777777" w:rsidR="00533CD6" w:rsidRPr="00422AFB" w:rsidRDefault="00533CD6" w:rsidP="007363F7">
            <w:pPr>
              <w:keepLines/>
              <w:widowControl w:val="0"/>
              <w:rPr>
                <w:rFonts w:ascii="Garamond" w:hAnsi="Garamond"/>
                <w:b/>
              </w:rPr>
            </w:pPr>
            <w:r w:rsidRPr="004447DE">
              <w:rPr>
                <w:rFonts w:ascii="Garamond" w:hAnsi="Garamond"/>
              </w:rPr>
              <w:t>Senior Counsel, 2003-2005</w:t>
            </w:r>
          </w:p>
          <w:p w14:paraId="1ED9F89A" w14:textId="2FF41E9A" w:rsidR="00533CD6" w:rsidRPr="006F6D4E" w:rsidRDefault="00533CD6" w:rsidP="007363F7">
            <w:pPr>
              <w:keepLines/>
              <w:widowControl w:val="0"/>
              <w:tabs>
                <w:tab w:val="left" w:pos="630"/>
              </w:tabs>
              <w:ind w:right="720"/>
              <w:rPr>
                <w:rFonts w:ascii="Garamond" w:hAnsi="Garamond"/>
                <w:bCs/>
                <w:sz w:val="18"/>
                <w:szCs w:val="18"/>
              </w:rPr>
            </w:pPr>
          </w:p>
          <w:p w14:paraId="2B22EAA9" w14:textId="15AFA1DF" w:rsidR="00533CD6" w:rsidRPr="004447DE" w:rsidRDefault="00533CD6" w:rsidP="007363F7">
            <w:pPr>
              <w:keepLines/>
              <w:widowControl w:val="0"/>
              <w:rPr>
                <w:rFonts w:ascii="Garamond" w:hAnsi="Garamond"/>
                <w:bCs/>
              </w:rPr>
            </w:pPr>
            <w:r w:rsidRPr="004447DE">
              <w:rPr>
                <w:rFonts w:ascii="Garamond" w:hAnsi="Garamond"/>
                <w:b/>
                <w:bCs/>
                <w:smallCaps/>
              </w:rPr>
              <w:t>Wilmer Hale</w:t>
            </w:r>
            <w:r w:rsidRPr="004447DE">
              <w:rPr>
                <w:rFonts w:ascii="Garamond" w:hAnsi="Garamond"/>
                <w:b/>
              </w:rPr>
              <w:t xml:space="preserve">, </w:t>
            </w:r>
            <w:r w:rsidRPr="004447DE">
              <w:rPr>
                <w:rFonts w:ascii="Garamond" w:hAnsi="Garamond"/>
                <w:bCs/>
                <w:i/>
                <w:iCs/>
              </w:rPr>
              <w:t>Washington, DC</w:t>
            </w:r>
          </w:p>
          <w:p w14:paraId="75913081" w14:textId="77777777" w:rsidR="00533CD6" w:rsidRPr="004447DE" w:rsidRDefault="00533CD6" w:rsidP="007363F7">
            <w:pPr>
              <w:keepLines/>
              <w:widowControl w:val="0"/>
              <w:ind w:right="720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>Associate, 2001-2003</w:t>
            </w:r>
          </w:p>
          <w:p w14:paraId="5DFEC045" w14:textId="77777777" w:rsidR="00533CD6" w:rsidRPr="006F6D4E" w:rsidRDefault="00533CD6" w:rsidP="007363F7">
            <w:pPr>
              <w:keepLines/>
              <w:widowControl w:val="0"/>
              <w:tabs>
                <w:tab w:val="left" w:pos="1440"/>
              </w:tabs>
              <w:ind w:right="720"/>
              <w:rPr>
                <w:rFonts w:ascii="Garamond" w:hAnsi="Garamond"/>
                <w:b/>
                <w:sz w:val="18"/>
                <w:szCs w:val="18"/>
              </w:rPr>
            </w:pPr>
          </w:p>
          <w:p w14:paraId="1122F734" w14:textId="77777777" w:rsidR="00533CD6" w:rsidRPr="004447DE" w:rsidRDefault="00533CD6" w:rsidP="007363F7">
            <w:pPr>
              <w:keepLines/>
              <w:widowControl w:val="0"/>
              <w:tabs>
                <w:tab w:val="left" w:pos="1440"/>
              </w:tabs>
              <w:ind w:right="720"/>
              <w:rPr>
                <w:rFonts w:ascii="Garamond" w:hAnsi="Garamond"/>
                <w:b/>
              </w:rPr>
            </w:pPr>
            <w:r w:rsidRPr="004447DE">
              <w:rPr>
                <w:rFonts w:ascii="Garamond" w:hAnsi="Garamond"/>
                <w:b/>
                <w:bCs/>
                <w:smallCaps/>
              </w:rPr>
              <w:t>Supreme Court of Delaware</w:t>
            </w:r>
            <w:r w:rsidRPr="004447DE">
              <w:rPr>
                <w:rFonts w:ascii="Garamond" w:hAnsi="Garamond"/>
              </w:rPr>
              <w:t xml:space="preserve">, </w:t>
            </w:r>
            <w:r w:rsidRPr="004447DE">
              <w:rPr>
                <w:rFonts w:ascii="Garamond" w:hAnsi="Garamond"/>
                <w:i/>
              </w:rPr>
              <w:t>Wilmington, DE</w:t>
            </w:r>
          </w:p>
          <w:p w14:paraId="07C344AD" w14:textId="05723B18" w:rsidR="00533CD6" w:rsidRDefault="00533CD6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  <w:r w:rsidRPr="004447DE">
              <w:rPr>
                <w:rFonts w:ascii="Garamond" w:hAnsi="Garamond"/>
                <w:sz w:val="24"/>
                <w:szCs w:val="24"/>
              </w:rPr>
              <w:t xml:space="preserve">Law Clerk to the Honorable Chief Justice E. Norman </w:t>
            </w:r>
            <w:proofErr w:type="spellStart"/>
            <w:r w:rsidRPr="004447DE">
              <w:rPr>
                <w:rFonts w:ascii="Garamond" w:hAnsi="Garamond"/>
                <w:sz w:val="24"/>
                <w:szCs w:val="24"/>
              </w:rPr>
              <w:t>Veasey</w:t>
            </w:r>
            <w:proofErr w:type="spellEnd"/>
            <w:r w:rsidRPr="004447DE">
              <w:rPr>
                <w:rFonts w:ascii="Garamond" w:hAnsi="Garamond"/>
                <w:sz w:val="24"/>
                <w:szCs w:val="24"/>
              </w:rPr>
              <w:t>, 1999-2000</w:t>
            </w:r>
          </w:p>
        </w:tc>
      </w:tr>
      <w:tr w:rsidR="009273F4" w14:paraId="0AB7BD8E" w14:textId="77777777" w:rsidTr="003F4F30">
        <w:tc>
          <w:tcPr>
            <w:tcW w:w="1892" w:type="dxa"/>
          </w:tcPr>
          <w:p w14:paraId="4ADD5000" w14:textId="6EFC8990" w:rsidR="00533CD6" w:rsidRPr="009273F4" w:rsidRDefault="00533CD6" w:rsidP="007363F7">
            <w:pPr>
              <w:pStyle w:val="SpaceBetween"/>
              <w:keepLines/>
              <w:widowControl w:val="0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55" w:type="dxa"/>
          </w:tcPr>
          <w:p w14:paraId="2752FBC0" w14:textId="77777777" w:rsidR="00533CD6" w:rsidRPr="009273F4" w:rsidRDefault="00533CD6" w:rsidP="007363F7">
            <w:pPr>
              <w:pStyle w:val="SpaceBetween"/>
              <w:keepLines/>
              <w:widowControl w:val="0"/>
              <w:rPr>
                <w:sz w:val="20"/>
                <w:szCs w:val="20"/>
              </w:rPr>
            </w:pPr>
          </w:p>
        </w:tc>
        <w:tc>
          <w:tcPr>
            <w:tcW w:w="8697" w:type="dxa"/>
          </w:tcPr>
          <w:p w14:paraId="3590AFDF" w14:textId="77777777" w:rsidR="00533CD6" w:rsidRPr="009273F4" w:rsidRDefault="00533CD6" w:rsidP="007363F7">
            <w:pPr>
              <w:keepLines/>
              <w:widowControl w:val="0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</w:tr>
      <w:tr w:rsidR="009273F4" w14:paraId="63231047" w14:textId="77777777" w:rsidTr="003F4F30">
        <w:tc>
          <w:tcPr>
            <w:tcW w:w="1892" w:type="dxa"/>
          </w:tcPr>
          <w:p w14:paraId="19FCF329" w14:textId="69364236" w:rsidR="00533CD6" w:rsidRPr="00122711" w:rsidRDefault="00122711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 w:rsidRPr="00122711">
              <w:rPr>
                <w:smallCaps/>
                <w:color w:val="auto"/>
                <w:sz w:val="24"/>
              </w:rPr>
              <w:t>Other Professional Experience</w:t>
            </w:r>
          </w:p>
        </w:tc>
        <w:tc>
          <w:tcPr>
            <w:tcW w:w="355" w:type="dxa"/>
          </w:tcPr>
          <w:p w14:paraId="180925AB" w14:textId="77777777" w:rsidR="00533CD6" w:rsidRDefault="00533CD6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4CD212E0" w14:textId="77777777" w:rsidR="00122711" w:rsidRPr="004447DE" w:rsidRDefault="00122711" w:rsidP="007363F7">
            <w:pPr>
              <w:keepLines/>
              <w:widowControl w:val="0"/>
              <w:tabs>
                <w:tab w:val="left" w:pos="0"/>
              </w:tabs>
              <w:rPr>
                <w:rFonts w:ascii="Garamond" w:hAnsi="Garamond"/>
                <w:i/>
              </w:rPr>
            </w:pPr>
            <w:r w:rsidRPr="004447DE">
              <w:rPr>
                <w:rFonts w:ascii="Garamond" w:hAnsi="Garamond"/>
                <w:b/>
                <w:bCs/>
                <w:smallCaps/>
              </w:rPr>
              <w:t>Simmons Memorial Foundation</w:t>
            </w:r>
            <w:r w:rsidRPr="004447DE">
              <w:rPr>
                <w:rFonts w:ascii="Garamond" w:hAnsi="Garamond"/>
                <w:b/>
              </w:rPr>
              <w:t xml:space="preserve">, </w:t>
            </w:r>
            <w:r w:rsidRPr="004447DE">
              <w:rPr>
                <w:rFonts w:ascii="Garamond" w:hAnsi="Garamond"/>
                <w:i/>
              </w:rPr>
              <w:t>Winston-Salem, NC</w:t>
            </w:r>
            <w:r w:rsidRPr="004447DE">
              <w:rPr>
                <w:rFonts w:ascii="Garamond" w:hAnsi="Garamond"/>
              </w:rPr>
              <w:t xml:space="preserve">    </w:t>
            </w:r>
          </w:p>
          <w:p w14:paraId="322B0673" w14:textId="77777777" w:rsidR="00122711" w:rsidRDefault="00122711" w:rsidP="007363F7">
            <w:pPr>
              <w:keepLines/>
              <w:widowControl w:val="0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>Executive Director/</w:t>
            </w:r>
            <w:r>
              <w:rPr>
                <w:rFonts w:ascii="Garamond" w:hAnsi="Garamond"/>
              </w:rPr>
              <w:t>Co-</w:t>
            </w:r>
            <w:r w:rsidRPr="004447DE">
              <w:rPr>
                <w:rFonts w:ascii="Garamond" w:hAnsi="Garamond"/>
              </w:rPr>
              <w:t>Founder, 1996-present</w:t>
            </w:r>
          </w:p>
          <w:p w14:paraId="37A33E5F" w14:textId="76749464" w:rsidR="00122711" w:rsidRPr="00747094" w:rsidRDefault="00122711" w:rsidP="007363F7">
            <w:pPr>
              <w:keepLines/>
              <w:widowControl w:val="0"/>
              <w:rPr>
                <w:rFonts w:asciiTheme="minorHAnsi" w:hAnsiTheme="minorHAnsi"/>
              </w:rPr>
            </w:pPr>
            <w:r w:rsidRPr="00747094">
              <w:rPr>
                <w:rFonts w:asciiTheme="minorHAnsi" w:eastAsia="Times New Roman" w:hAnsiTheme="minorHAnsi"/>
              </w:rPr>
              <w:t xml:space="preserve">Manage nonprofit organization, on a volunteer basis, that provides college consulting services and mentoring to vulnerable students. For </w:t>
            </w:r>
            <w:r w:rsidR="002C6B99" w:rsidRPr="00747094">
              <w:rPr>
                <w:rFonts w:asciiTheme="minorHAnsi" w:eastAsia="Times New Roman" w:hAnsiTheme="minorHAnsi"/>
              </w:rPr>
              <w:t xml:space="preserve">over </w:t>
            </w:r>
            <w:r w:rsidRPr="00747094">
              <w:rPr>
                <w:rFonts w:asciiTheme="minorHAnsi" w:eastAsia="Times New Roman" w:hAnsiTheme="minorHAnsi"/>
              </w:rPr>
              <w:t xml:space="preserve">two decades, SMF has assisted hundreds of students in their pursuit of higher education. </w:t>
            </w:r>
            <w:r w:rsidR="00310ADB" w:rsidRPr="00747094">
              <w:rPr>
                <w:rFonts w:asciiTheme="minorHAnsi" w:eastAsia="Times New Roman" w:hAnsiTheme="minorHAnsi"/>
              </w:rPr>
              <w:t xml:space="preserve">Since inception, SMF has </w:t>
            </w:r>
            <w:r w:rsidR="0058531D" w:rsidRPr="00747094">
              <w:rPr>
                <w:rFonts w:asciiTheme="minorHAnsi" w:eastAsia="Times New Roman" w:hAnsiTheme="minorHAnsi"/>
              </w:rPr>
              <w:t xml:space="preserve">also </w:t>
            </w:r>
            <w:r w:rsidR="00310ADB" w:rsidRPr="00747094">
              <w:rPr>
                <w:rFonts w:asciiTheme="minorHAnsi" w:eastAsia="Times New Roman" w:hAnsiTheme="minorHAnsi"/>
              </w:rPr>
              <w:t>award</w:t>
            </w:r>
            <w:r w:rsidR="00F47137" w:rsidRPr="00747094">
              <w:rPr>
                <w:rFonts w:asciiTheme="minorHAnsi" w:eastAsia="Times New Roman" w:hAnsiTheme="minorHAnsi"/>
              </w:rPr>
              <w:t>ed</w:t>
            </w:r>
            <w:r w:rsidR="00310ADB" w:rsidRPr="00747094">
              <w:rPr>
                <w:rFonts w:asciiTheme="minorHAnsi" w:eastAsia="Times New Roman" w:hAnsiTheme="minorHAnsi"/>
              </w:rPr>
              <w:t xml:space="preserve"> over</w:t>
            </w:r>
            <w:r w:rsidR="0055655A" w:rsidRPr="00747094">
              <w:rPr>
                <w:rFonts w:asciiTheme="minorHAnsi" w:eastAsia="Times New Roman" w:hAnsiTheme="minorHAnsi"/>
              </w:rPr>
              <w:t xml:space="preserve"> sixty scholarships.</w:t>
            </w:r>
            <w:r w:rsidR="00310ADB" w:rsidRPr="00747094">
              <w:rPr>
                <w:rFonts w:asciiTheme="minorHAnsi" w:eastAsia="Times New Roman" w:hAnsiTheme="minorHAnsi"/>
              </w:rPr>
              <w:t xml:space="preserve"> </w:t>
            </w:r>
            <w:r w:rsidRPr="00747094">
              <w:rPr>
                <w:rFonts w:asciiTheme="minorHAnsi" w:eastAsia="Times New Roman" w:hAnsiTheme="minorHAnsi"/>
              </w:rPr>
              <w:t xml:space="preserve">Oversee strategic planning, fundraising, recruiting, </w:t>
            </w:r>
            <w:r w:rsidR="00461BD8" w:rsidRPr="00747094">
              <w:rPr>
                <w:rFonts w:asciiTheme="minorHAnsi" w:eastAsia="Times New Roman" w:hAnsiTheme="minorHAnsi"/>
              </w:rPr>
              <w:t xml:space="preserve">partnerships, </w:t>
            </w:r>
            <w:r w:rsidRPr="00747094">
              <w:rPr>
                <w:rFonts w:asciiTheme="minorHAnsi" w:eastAsia="Times New Roman" w:hAnsiTheme="minorHAnsi"/>
              </w:rPr>
              <w:t>community outreach, and other operational functions.</w:t>
            </w:r>
          </w:p>
          <w:p w14:paraId="0C9C9F20" w14:textId="77777777" w:rsidR="00122711" w:rsidRPr="00122711" w:rsidRDefault="00122711" w:rsidP="007363F7">
            <w:pPr>
              <w:keepLines/>
              <w:widowControl w:val="0"/>
              <w:rPr>
                <w:rFonts w:ascii="Garamond" w:hAnsi="Garamond"/>
                <w:b/>
                <w:smallCaps/>
                <w:szCs w:val="20"/>
              </w:rPr>
            </w:pPr>
          </w:p>
          <w:p w14:paraId="6F915594" w14:textId="77777777" w:rsidR="00122711" w:rsidRPr="00C417E1" w:rsidRDefault="00122711" w:rsidP="007363F7">
            <w:pPr>
              <w:keepLines/>
              <w:widowControl w:val="0"/>
              <w:rPr>
                <w:rFonts w:ascii="Garamond" w:hAnsi="Garamond"/>
              </w:rPr>
            </w:pPr>
            <w:r w:rsidRPr="00C417E1">
              <w:rPr>
                <w:rFonts w:ascii="Garamond" w:hAnsi="Garamond"/>
                <w:b/>
                <w:smallCaps/>
              </w:rPr>
              <w:t>Systems Integration &amp; Management</w:t>
            </w:r>
            <w:r w:rsidRPr="00C417E1">
              <w:rPr>
                <w:rFonts w:ascii="Garamond" w:hAnsi="Garamond"/>
              </w:rPr>
              <w:t xml:space="preserve">, </w:t>
            </w:r>
            <w:r w:rsidRPr="00C417E1">
              <w:rPr>
                <w:rFonts w:ascii="Garamond" w:hAnsi="Garamond"/>
                <w:i/>
              </w:rPr>
              <w:t>Arlington, VA</w:t>
            </w:r>
          </w:p>
          <w:p w14:paraId="358D0F7E" w14:textId="77777777" w:rsidR="00122711" w:rsidRDefault="00122711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President/CEO, March 2013-July 2015</w:t>
            </w:r>
          </w:p>
          <w:p w14:paraId="7F983102" w14:textId="1E1CF46B" w:rsidR="00122711" w:rsidRPr="00331B0C" w:rsidRDefault="00122711" w:rsidP="007363F7">
            <w:pPr>
              <w:pStyle w:val="ListParagraph"/>
              <w:keepLines/>
              <w:widowControl w:val="0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</w:rPr>
            </w:pPr>
            <w:r w:rsidRPr="00A7365C">
              <w:rPr>
                <w:rFonts w:cs="Times New Roman"/>
                <w:sz w:val="24"/>
                <w:szCs w:val="24"/>
              </w:rPr>
              <w:t xml:space="preserve">Managed all business aspects for a 120+ </w:t>
            </w:r>
            <w:r w:rsidR="00112372">
              <w:rPr>
                <w:rFonts w:cs="Times New Roman"/>
                <w:sz w:val="24"/>
                <w:szCs w:val="24"/>
              </w:rPr>
              <w:t>employee, multi-office,</w:t>
            </w:r>
            <w:r w:rsidR="00112372" w:rsidRPr="00A7365C">
              <w:rPr>
                <w:rFonts w:cs="Times New Roman"/>
                <w:sz w:val="24"/>
                <w:szCs w:val="24"/>
              </w:rPr>
              <w:t xml:space="preserve"> small business</w:t>
            </w:r>
            <w:r w:rsidR="00112372">
              <w:rPr>
                <w:rFonts w:cs="Times New Roman"/>
                <w:sz w:val="24"/>
                <w:szCs w:val="24"/>
              </w:rPr>
              <w:t xml:space="preserve"> with</w:t>
            </w:r>
            <w:r w:rsidR="00EA2CB7">
              <w:rPr>
                <w:rFonts w:cs="Times New Roman"/>
                <w:sz w:val="24"/>
                <w:szCs w:val="24"/>
              </w:rPr>
              <w:t xml:space="preserve"> $</w:t>
            </w:r>
            <w:r w:rsidRPr="00A7365C">
              <w:rPr>
                <w:rFonts w:cs="Times New Roman"/>
                <w:sz w:val="24"/>
                <w:szCs w:val="24"/>
              </w:rPr>
              <w:t>15 million annual revenue</w:t>
            </w:r>
            <w:r w:rsidR="00DD0AF6">
              <w:rPr>
                <w:rFonts w:cs="Times New Roman"/>
                <w:sz w:val="24"/>
                <w:szCs w:val="24"/>
              </w:rPr>
              <w:t>s</w:t>
            </w:r>
            <w:r w:rsidR="00112372">
              <w:rPr>
                <w:rFonts w:cs="Times New Roman"/>
                <w:sz w:val="24"/>
                <w:szCs w:val="24"/>
              </w:rPr>
              <w:t>.</w:t>
            </w:r>
            <w:r w:rsidR="00C2683A">
              <w:rPr>
                <w:rFonts w:cs="Times New Roman"/>
                <w:sz w:val="24"/>
                <w:szCs w:val="24"/>
              </w:rPr>
              <w:t xml:space="preserve"> </w:t>
            </w:r>
            <w:r w:rsidR="005167BE">
              <w:rPr>
                <w:rFonts w:cs="Times New Roman"/>
                <w:sz w:val="24"/>
                <w:szCs w:val="24"/>
              </w:rPr>
              <w:t>Provided</w:t>
            </w:r>
            <w:r w:rsidRPr="00A7365C">
              <w:rPr>
                <w:rFonts w:cs="Times New Roman"/>
                <w:sz w:val="24"/>
                <w:szCs w:val="24"/>
              </w:rPr>
              <w:t xml:space="preserve"> services to the federal government</w:t>
            </w:r>
            <w:r>
              <w:rPr>
                <w:rFonts w:cs="Times New Roman"/>
                <w:sz w:val="24"/>
                <w:szCs w:val="24"/>
              </w:rPr>
              <w:t xml:space="preserve"> pursuant to a $90 million contract.</w:t>
            </w:r>
            <w:r w:rsidRPr="00A7365C">
              <w:rPr>
                <w:rFonts w:cs="Times New Roman"/>
                <w:sz w:val="24"/>
                <w:szCs w:val="24"/>
              </w:rPr>
              <w:t xml:space="preserve"> </w:t>
            </w:r>
            <w:r w:rsidR="002C6B99">
              <w:rPr>
                <w:rFonts w:cs="Times New Roman"/>
                <w:sz w:val="24"/>
                <w:szCs w:val="24"/>
              </w:rPr>
              <w:t>Over</w:t>
            </w:r>
            <w:r w:rsidR="00825C7C">
              <w:rPr>
                <w:rFonts w:cs="Times New Roman"/>
                <w:sz w:val="24"/>
                <w:szCs w:val="24"/>
              </w:rPr>
              <w:t>saw operational functions</w:t>
            </w:r>
            <w:r w:rsidR="00310ADB">
              <w:rPr>
                <w:rFonts w:cs="Times New Roman"/>
                <w:sz w:val="24"/>
                <w:szCs w:val="24"/>
              </w:rPr>
              <w:t xml:space="preserve"> including strategic planning</w:t>
            </w:r>
            <w:r w:rsidR="002E7E09">
              <w:rPr>
                <w:rFonts w:cs="Times New Roman"/>
                <w:sz w:val="24"/>
                <w:szCs w:val="24"/>
              </w:rPr>
              <w:t xml:space="preserve">, </w:t>
            </w:r>
            <w:r w:rsidR="00EE2012">
              <w:rPr>
                <w:rFonts w:cs="Times New Roman"/>
                <w:sz w:val="24"/>
                <w:szCs w:val="24"/>
              </w:rPr>
              <w:t xml:space="preserve">budgeting, </w:t>
            </w:r>
            <w:r w:rsidR="00EA2530">
              <w:rPr>
                <w:rFonts w:cs="Times New Roman"/>
                <w:sz w:val="24"/>
                <w:szCs w:val="24"/>
              </w:rPr>
              <w:t>subcontractor</w:t>
            </w:r>
            <w:r w:rsidR="00640C69">
              <w:rPr>
                <w:rFonts w:cs="Times New Roman"/>
                <w:sz w:val="24"/>
                <w:szCs w:val="24"/>
              </w:rPr>
              <w:t xml:space="preserve"> relations</w:t>
            </w:r>
            <w:r w:rsidR="00581FE5">
              <w:rPr>
                <w:rFonts w:cs="Times New Roman"/>
                <w:sz w:val="24"/>
                <w:szCs w:val="24"/>
              </w:rPr>
              <w:t xml:space="preserve">, </w:t>
            </w:r>
            <w:r w:rsidR="002E7E09">
              <w:rPr>
                <w:rFonts w:cs="Times New Roman"/>
                <w:sz w:val="24"/>
                <w:szCs w:val="24"/>
              </w:rPr>
              <w:t>customer relations,</w:t>
            </w:r>
            <w:r w:rsidR="005F2005">
              <w:rPr>
                <w:rFonts w:cs="Times New Roman"/>
                <w:sz w:val="24"/>
                <w:szCs w:val="24"/>
              </w:rPr>
              <w:t xml:space="preserve"> hiring, and </w:t>
            </w:r>
            <w:r w:rsidR="002E7E09">
              <w:rPr>
                <w:rFonts w:cs="Times New Roman"/>
                <w:sz w:val="24"/>
                <w:szCs w:val="24"/>
              </w:rPr>
              <w:t xml:space="preserve">employer-sponsored retirement plan. </w:t>
            </w:r>
          </w:p>
          <w:p w14:paraId="0C9D0A92" w14:textId="1EC61405" w:rsidR="00122711" w:rsidRPr="007E0944" w:rsidRDefault="00122711" w:rsidP="007363F7">
            <w:pPr>
              <w:pStyle w:val="ListParagraph"/>
              <w:keepLines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rPr>
                <w:rFonts w:ascii="Garamond" w:hAnsi="Garamond"/>
                <w:b/>
                <w:bCs/>
                <w:smallCaps/>
                <w:sz w:val="24"/>
                <w:szCs w:val="24"/>
              </w:rPr>
            </w:pPr>
            <w:r w:rsidRPr="000751AD">
              <w:rPr>
                <w:rFonts w:cs="Times New Roman"/>
                <w:sz w:val="24"/>
                <w:szCs w:val="24"/>
              </w:rPr>
              <w:t>Services primarily consisted of Data Center Operations, Network Security, Systems Administration as well as the U.S. Navy’s primary Enterprise Service Help Des</w:t>
            </w:r>
            <w:r w:rsidR="00D176C7">
              <w:rPr>
                <w:rFonts w:cs="Times New Roman"/>
                <w:sz w:val="24"/>
                <w:szCs w:val="24"/>
              </w:rPr>
              <w:t>k.</w:t>
            </w:r>
            <w:r w:rsidRPr="000751AD">
              <w:rPr>
                <w:rFonts w:cs="Times New Roman"/>
                <w:sz w:val="24"/>
                <w:szCs w:val="24"/>
              </w:rPr>
              <w:t xml:space="preserve"> SIM </w:t>
            </w:r>
            <w:r w:rsidRPr="000751AD">
              <w:rPr>
                <w:rFonts w:cs="Times New Roman"/>
                <w:bCs/>
                <w:sz w:val="24"/>
                <w:szCs w:val="24"/>
              </w:rPr>
              <w:t>supported approximately 670,000 world-wide remote customers</w:t>
            </w:r>
            <w:r w:rsidRPr="000751AD">
              <w:rPr>
                <w:rFonts w:cs="Times New Roman"/>
                <w:sz w:val="24"/>
                <w:szCs w:val="24"/>
              </w:rPr>
              <w:t>, both active and reserve</w:t>
            </w:r>
            <w:r>
              <w:rPr>
                <w:rFonts w:cs="Times New Roman"/>
                <w:sz w:val="24"/>
                <w:szCs w:val="24"/>
              </w:rPr>
              <w:t xml:space="preserve"> servicemen and women</w:t>
            </w:r>
            <w:r w:rsidRPr="000751AD">
              <w:rPr>
                <w:rFonts w:cs="Times New Roman"/>
                <w:sz w:val="24"/>
                <w:szCs w:val="24"/>
              </w:rPr>
              <w:t>.</w:t>
            </w:r>
          </w:p>
          <w:p w14:paraId="698792E5" w14:textId="77777777" w:rsidR="00122711" w:rsidRDefault="00122711" w:rsidP="007363F7">
            <w:pPr>
              <w:keepLines/>
              <w:widowControl w:val="0"/>
              <w:rPr>
                <w:b/>
                <w:bCs/>
                <w:smallCaps/>
                <w:szCs w:val="20"/>
              </w:rPr>
            </w:pPr>
          </w:p>
          <w:p w14:paraId="30AF5E1A" w14:textId="77777777" w:rsidR="00310ADB" w:rsidRDefault="00310ADB" w:rsidP="007363F7">
            <w:pPr>
              <w:keepLines/>
              <w:widowControl w:val="0"/>
              <w:rPr>
                <w:b/>
                <w:bCs/>
                <w:smallCaps/>
                <w:szCs w:val="20"/>
              </w:rPr>
            </w:pPr>
          </w:p>
          <w:p w14:paraId="45B32344" w14:textId="77777777" w:rsidR="00310ADB" w:rsidRPr="00122711" w:rsidRDefault="00310ADB" w:rsidP="007363F7">
            <w:pPr>
              <w:keepLines/>
              <w:widowControl w:val="0"/>
              <w:rPr>
                <w:b/>
                <w:bCs/>
                <w:smallCaps/>
                <w:szCs w:val="20"/>
              </w:rPr>
            </w:pPr>
          </w:p>
          <w:p w14:paraId="045CBD33" w14:textId="77777777" w:rsidR="00310ADB" w:rsidRDefault="00310ADB" w:rsidP="007363F7">
            <w:pPr>
              <w:keepLines/>
              <w:widowControl w:val="0"/>
              <w:rPr>
                <w:b/>
                <w:bCs/>
                <w:smallCaps/>
              </w:rPr>
            </w:pPr>
          </w:p>
          <w:p w14:paraId="111B479E" w14:textId="77777777" w:rsidR="00122711" w:rsidRDefault="00122711" w:rsidP="007363F7">
            <w:pPr>
              <w:keepLines/>
              <w:widowControl w:val="0"/>
              <w:rPr>
                <w:rFonts w:ascii="Garamond" w:hAnsi="Garamond"/>
                <w:i/>
              </w:rPr>
            </w:pPr>
            <w:r w:rsidRPr="00FF45BD">
              <w:rPr>
                <w:rFonts w:asciiTheme="minorHAnsi" w:hAnsiTheme="minorHAnsi"/>
                <w:b/>
                <w:bCs/>
                <w:smallCaps/>
              </w:rPr>
              <w:t xml:space="preserve">WFU Leadership Development Program, </w:t>
            </w:r>
            <w:r w:rsidRPr="00FF45BD">
              <w:rPr>
                <w:rFonts w:asciiTheme="minorHAnsi" w:hAnsiTheme="minorHAnsi"/>
                <w:i/>
              </w:rPr>
              <w:t>Win</w:t>
            </w:r>
            <w:r w:rsidRPr="004447DE">
              <w:rPr>
                <w:rFonts w:ascii="Garamond" w:hAnsi="Garamond"/>
                <w:i/>
              </w:rPr>
              <w:t>ston-Salem, NC</w:t>
            </w:r>
          </w:p>
          <w:p w14:paraId="5E972581" w14:textId="77777777" w:rsidR="00122711" w:rsidRPr="00F46443" w:rsidRDefault="00122711" w:rsidP="007363F7">
            <w:pPr>
              <w:keepLines/>
              <w:widowControl w:val="0"/>
            </w:pPr>
            <w:r>
              <w:rPr>
                <w:rFonts w:ascii="Garamond" w:hAnsi="Garamond"/>
              </w:rPr>
              <w:t xml:space="preserve">Participant, </w:t>
            </w:r>
            <w:r w:rsidRPr="00F46443">
              <w:rPr>
                <w:rFonts w:ascii="Garamond" w:hAnsi="Garamond"/>
              </w:rPr>
              <w:t xml:space="preserve">2016-2017    </w:t>
            </w:r>
          </w:p>
          <w:p w14:paraId="31F6C652" w14:textId="6786AD0A" w:rsidR="00533CD6" w:rsidRPr="00747094" w:rsidRDefault="00122711" w:rsidP="007363F7">
            <w:pPr>
              <w:keepLines/>
              <w:widowControl w:val="0"/>
              <w:rPr>
                <w:rFonts w:asciiTheme="minorHAnsi" w:hAnsiTheme="minorHAnsi"/>
                <w:b/>
                <w:bCs/>
                <w:smallCaps/>
              </w:rPr>
            </w:pPr>
            <w:r w:rsidRPr="00747094">
              <w:rPr>
                <w:rFonts w:asciiTheme="minorHAnsi" w:eastAsia="Times New Roman" w:hAnsiTheme="minorHAnsi"/>
              </w:rPr>
              <w:t>Nominated and selected for Wake Forest University’s Leadership Development Program (LDP) for administrative senior leaders and tenured faculty members who are in leadership roles.</w:t>
            </w:r>
          </w:p>
        </w:tc>
      </w:tr>
      <w:tr w:rsidR="00122711" w:rsidRPr="006F6D4E" w14:paraId="2685C814" w14:textId="77777777" w:rsidTr="003F4F30">
        <w:tc>
          <w:tcPr>
            <w:tcW w:w="1892" w:type="dxa"/>
          </w:tcPr>
          <w:p w14:paraId="4DD93880" w14:textId="77777777" w:rsidR="00122711" w:rsidRPr="006F6D4E" w:rsidRDefault="00122711" w:rsidP="007363F7">
            <w:pPr>
              <w:keepLines/>
              <w:widowControl w:val="0"/>
            </w:pPr>
          </w:p>
        </w:tc>
        <w:tc>
          <w:tcPr>
            <w:tcW w:w="355" w:type="dxa"/>
          </w:tcPr>
          <w:p w14:paraId="21596A02" w14:textId="77777777" w:rsidR="00122711" w:rsidRPr="006F6D4E" w:rsidRDefault="00122711" w:rsidP="007363F7">
            <w:pPr>
              <w:keepLines/>
              <w:widowControl w:val="0"/>
            </w:pPr>
          </w:p>
        </w:tc>
        <w:tc>
          <w:tcPr>
            <w:tcW w:w="8697" w:type="dxa"/>
          </w:tcPr>
          <w:p w14:paraId="7E448A97" w14:textId="77777777" w:rsidR="00122711" w:rsidRPr="006F6D4E" w:rsidRDefault="00122711" w:rsidP="007363F7">
            <w:pPr>
              <w:keepLines/>
              <w:widowControl w:val="0"/>
            </w:pPr>
          </w:p>
        </w:tc>
      </w:tr>
      <w:tr w:rsidR="00122711" w14:paraId="61231F67" w14:textId="77777777" w:rsidTr="003F4F30">
        <w:tc>
          <w:tcPr>
            <w:tcW w:w="1892" w:type="dxa"/>
          </w:tcPr>
          <w:p w14:paraId="791A54CF" w14:textId="35006F12" w:rsidR="00122711" w:rsidRPr="00122711" w:rsidRDefault="00122711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 w:rsidRPr="004447DE">
              <w:rPr>
                <w:smallCaps/>
                <w:color w:val="auto"/>
                <w:sz w:val="24"/>
              </w:rPr>
              <w:t>Education</w:t>
            </w:r>
          </w:p>
        </w:tc>
        <w:tc>
          <w:tcPr>
            <w:tcW w:w="355" w:type="dxa"/>
          </w:tcPr>
          <w:p w14:paraId="02349325" w14:textId="77777777" w:rsidR="00122711" w:rsidRDefault="00122711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36FC757D" w14:textId="77777777" w:rsidR="00122711" w:rsidRPr="004447DE" w:rsidRDefault="00122711" w:rsidP="007363F7">
            <w:pPr>
              <w:keepLines/>
              <w:widowControl w:val="0"/>
              <w:ind w:right="720"/>
              <w:rPr>
                <w:rFonts w:ascii="Garamond" w:hAnsi="Garamond"/>
                <w:b/>
              </w:rPr>
            </w:pPr>
            <w:r w:rsidRPr="004447DE">
              <w:rPr>
                <w:rFonts w:ascii="Garamond" w:hAnsi="Garamond"/>
                <w:b/>
                <w:bCs/>
                <w:smallCaps/>
              </w:rPr>
              <w:t>University of Cambridge</w:t>
            </w:r>
            <w:r w:rsidRPr="004447DE">
              <w:rPr>
                <w:rFonts w:ascii="Garamond" w:hAnsi="Garamond"/>
                <w:b/>
              </w:rPr>
              <w:t xml:space="preserve">, </w:t>
            </w:r>
            <w:r w:rsidRPr="004447DE">
              <w:rPr>
                <w:rFonts w:ascii="Garamond" w:hAnsi="Garamond"/>
                <w:bCs/>
                <w:i/>
              </w:rPr>
              <w:t>United Kingdom</w:t>
            </w:r>
          </w:p>
          <w:p w14:paraId="0E340552" w14:textId="77777777" w:rsidR="00122711" w:rsidRPr="004447DE" w:rsidRDefault="00122711" w:rsidP="007363F7">
            <w:pPr>
              <w:pStyle w:val="Heading4"/>
              <w:keepNext w:val="0"/>
              <w:widowControl w:val="0"/>
              <w:spacing w:before="0"/>
              <w:rPr>
                <w:rFonts w:ascii="Garamond" w:hAnsi="Garamond"/>
                <w:b w:val="0"/>
                <w:i w:val="0"/>
                <w:color w:val="auto"/>
                <w:sz w:val="24"/>
                <w:szCs w:val="24"/>
              </w:rPr>
            </w:pPr>
            <w:r w:rsidRPr="004447DE">
              <w:rPr>
                <w:rFonts w:ascii="Garamond" w:hAnsi="Garamond"/>
                <w:b w:val="0"/>
                <w:i w:val="0"/>
                <w:color w:val="auto"/>
                <w:sz w:val="24"/>
                <w:szCs w:val="24"/>
              </w:rPr>
              <w:t>LLM, June 2001</w:t>
            </w:r>
          </w:p>
          <w:p w14:paraId="7CBCC425" w14:textId="77777777" w:rsidR="00122711" w:rsidRPr="004447DE" w:rsidRDefault="00122711" w:rsidP="007363F7">
            <w:pPr>
              <w:pStyle w:val="Heading4"/>
              <w:keepNext w:val="0"/>
              <w:widowControl w:val="0"/>
              <w:spacing w:before="0"/>
              <w:rPr>
                <w:rFonts w:ascii="Garamond" w:hAnsi="Garamond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4447DE">
              <w:rPr>
                <w:rFonts w:ascii="Garamond" w:hAnsi="Garamond"/>
                <w:b w:val="0"/>
                <w:i w:val="0"/>
                <w:color w:val="auto"/>
                <w:sz w:val="24"/>
                <w:szCs w:val="24"/>
              </w:rPr>
              <w:t>Thouron</w:t>
            </w:r>
            <w:proofErr w:type="spellEnd"/>
            <w:r w:rsidRPr="004447DE">
              <w:rPr>
                <w:rFonts w:ascii="Garamond" w:hAnsi="Garamond"/>
                <w:b w:val="0"/>
                <w:i w:val="0"/>
                <w:color w:val="auto"/>
                <w:sz w:val="24"/>
                <w:szCs w:val="24"/>
              </w:rPr>
              <w:t xml:space="preserve"> Fellow</w:t>
            </w:r>
          </w:p>
          <w:p w14:paraId="70BDC9D5" w14:textId="77777777" w:rsidR="00122711" w:rsidRPr="006F6D4E" w:rsidRDefault="00122711" w:rsidP="007363F7">
            <w:pPr>
              <w:keepLines/>
              <w:widowControl w:val="0"/>
              <w:ind w:right="720"/>
              <w:rPr>
                <w:rFonts w:ascii="Garamond" w:hAnsi="Garamond"/>
                <w:szCs w:val="20"/>
              </w:rPr>
            </w:pPr>
          </w:p>
          <w:p w14:paraId="3BF4DD1A" w14:textId="77777777" w:rsidR="00122711" w:rsidRPr="004447DE" w:rsidRDefault="00122711" w:rsidP="007363F7">
            <w:pPr>
              <w:keepLines/>
              <w:widowControl w:val="0"/>
              <w:rPr>
                <w:rFonts w:ascii="Garamond" w:hAnsi="Garamond"/>
                <w:b/>
              </w:rPr>
            </w:pPr>
            <w:r w:rsidRPr="004447DE">
              <w:rPr>
                <w:rFonts w:ascii="Garamond" w:hAnsi="Garamond"/>
                <w:b/>
                <w:bCs/>
                <w:smallCaps/>
              </w:rPr>
              <w:t>University of Pennsylvania School of Law</w:t>
            </w:r>
            <w:r w:rsidRPr="004447DE">
              <w:rPr>
                <w:rFonts w:ascii="Garamond" w:hAnsi="Garamond"/>
                <w:b/>
              </w:rPr>
              <w:t xml:space="preserve">, </w:t>
            </w:r>
            <w:r w:rsidRPr="004447DE">
              <w:rPr>
                <w:rFonts w:ascii="Garamond" w:hAnsi="Garamond"/>
                <w:i/>
              </w:rPr>
              <w:t>Philadelphia, PA</w:t>
            </w:r>
          </w:p>
          <w:p w14:paraId="3BD2F780" w14:textId="77777777" w:rsidR="00122711" w:rsidRPr="004447DE" w:rsidRDefault="00122711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J.D., May 1999</w:t>
            </w:r>
            <w:r w:rsidRPr="004447DE">
              <w:rPr>
                <w:rFonts w:ascii="Garamond" w:hAnsi="Garamond"/>
              </w:rPr>
              <w:t xml:space="preserve"> </w:t>
            </w:r>
          </w:p>
          <w:p w14:paraId="276DC72A" w14:textId="77777777" w:rsidR="00122711" w:rsidRDefault="00122711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Senior Editor, </w:t>
            </w:r>
            <w:r w:rsidRPr="004447DE">
              <w:rPr>
                <w:rFonts w:ascii="Garamond" w:hAnsi="Garamond"/>
                <w:i/>
              </w:rPr>
              <w:t xml:space="preserve">University of Pennsylvania Journal of Constitutional Law </w:t>
            </w:r>
            <w:r w:rsidRPr="004447DE">
              <w:rPr>
                <w:rFonts w:ascii="Garamond" w:hAnsi="Garamond"/>
              </w:rPr>
              <w:t xml:space="preserve"> </w:t>
            </w:r>
          </w:p>
          <w:p w14:paraId="397E4BAF" w14:textId="77777777" w:rsidR="00122711" w:rsidRDefault="00122711" w:rsidP="007363F7">
            <w:pPr>
              <w:keepLines/>
              <w:widowControl w:val="0"/>
              <w:ind w:left="360" w:hanging="360"/>
              <w:rPr>
                <w:rFonts w:ascii="Garamond" w:hAnsi="Garamond"/>
              </w:rPr>
            </w:pPr>
            <w:r w:rsidRPr="00E945C3">
              <w:rPr>
                <w:rFonts w:ascii="Garamond" w:hAnsi="Garamond"/>
              </w:rPr>
              <w:t>Honors:</w:t>
            </w:r>
            <w:r w:rsidRPr="004447DE">
              <w:rPr>
                <w:rFonts w:ascii="Garamond" w:hAnsi="Garamond"/>
              </w:rPr>
              <w:t xml:space="preserve"> </w:t>
            </w:r>
            <w:proofErr w:type="spellStart"/>
            <w:r w:rsidRPr="004447DE">
              <w:rPr>
                <w:rFonts w:ascii="Garamond" w:hAnsi="Garamond"/>
              </w:rPr>
              <w:t>Thouron</w:t>
            </w:r>
            <w:proofErr w:type="spellEnd"/>
            <w:r>
              <w:rPr>
                <w:rFonts w:ascii="Garamond" w:hAnsi="Garamond"/>
              </w:rPr>
              <w:t xml:space="preserve"> Award &amp; Fontaine Fellowship</w:t>
            </w:r>
            <w:r w:rsidRPr="004447DE">
              <w:rPr>
                <w:rFonts w:ascii="Garamond" w:hAnsi="Garamond"/>
              </w:rPr>
              <w:t xml:space="preserve"> </w:t>
            </w:r>
          </w:p>
          <w:p w14:paraId="3D2A3F9B" w14:textId="77777777" w:rsidR="00122711" w:rsidRPr="004447DE" w:rsidRDefault="00122711" w:rsidP="007363F7">
            <w:pPr>
              <w:keepLines/>
              <w:widowControl w:val="0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>Cross-registered at the Wharton School of Business, Graduate School of Arts &amp; Sciences</w:t>
            </w:r>
            <w:r>
              <w:rPr>
                <w:rFonts w:ascii="Garamond" w:hAnsi="Garamond"/>
              </w:rPr>
              <w:t>, and FELS School of Government</w:t>
            </w:r>
          </w:p>
          <w:p w14:paraId="18D6FEA5" w14:textId="77777777" w:rsidR="00122711" w:rsidRPr="006F6D4E" w:rsidRDefault="00122711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0AF3B18C" w14:textId="77777777" w:rsidR="00122711" w:rsidRPr="004447DE" w:rsidRDefault="00122711" w:rsidP="007363F7">
            <w:pPr>
              <w:keepLines/>
              <w:widowControl w:val="0"/>
              <w:ind w:right="720"/>
              <w:rPr>
                <w:rFonts w:ascii="Garamond" w:hAnsi="Garamond"/>
                <w:i/>
              </w:rPr>
            </w:pPr>
            <w:r w:rsidRPr="004447DE">
              <w:rPr>
                <w:rFonts w:ascii="Garamond" w:hAnsi="Garamond"/>
                <w:b/>
                <w:bCs/>
                <w:smallCaps/>
              </w:rPr>
              <w:t>Wake Forest University</w:t>
            </w:r>
            <w:r w:rsidRPr="004447DE">
              <w:rPr>
                <w:rFonts w:ascii="Garamond" w:hAnsi="Garamond"/>
                <w:b/>
              </w:rPr>
              <w:t>,</w:t>
            </w:r>
            <w:r w:rsidRPr="004447DE">
              <w:rPr>
                <w:rFonts w:ascii="Garamond" w:hAnsi="Garamond"/>
              </w:rPr>
              <w:t xml:space="preserve"> </w:t>
            </w:r>
            <w:r w:rsidRPr="004447DE">
              <w:rPr>
                <w:rFonts w:ascii="Garamond" w:hAnsi="Garamond"/>
                <w:i/>
              </w:rPr>
              <w:t>Winston-Salem, NC</w:t>
            </w:r>
          </w:p>
          <w:p w14:paraId="41EF04C7" w14:textId="77777777" w:rsidR="00122711" w:rsidRPr="004447DE" w:rsidRDefault="00122711" w:rsidP="007363F7">
            <w:pPr>
              <w:keepLines/>
              <w:widowControl w:val="0"/>
              <w:ind w:right="720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>B.A. in Economics and History,</w:t>
            </w:r>
            <w:r w:rsidRPr="004447DE">
              <w:rPr>
                <w:rFonts w:ascii="Garamond" w:hAnsi="Garamond"/>
                <w:i/>
              </w:rPr>
              <w:t xml:space="preserve"> magna cum laude</w:t>
            </w:r>
            <w:r w:rsidRPr="004447DE">
              <w:rPr>
                <w:rFonts w:ascii="Garamond" w:hAnsi="Garamond"/>
              </w:rPr>
              <w:t xml:space="preserve">, May 1996 </w:t>
            </w:r>
          </w:p>
          <w:p w14:paraId="0997139F" w14:textId="77777777" w:rsidR="00122711" w:rsidRPr="004447DE" w:rsidRDefault="00122711" w:rsidP="007363F7">
            <w:pPr>
              <w:keepLines/>
              <w:widowControl w:val="0"/>
              <w:ind w:right="720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>Double major completed in 3.5 years</w:t>
            </w:r>
          </w:p>
          <w:p w14:paraId="03D87FA0" w14:textId="77777777" w:rsidR="00122711" w:rsidRPr="006F6D4E" w:rsidRDefault="00122711" w:rsidP="007363F7">
            <w:pPr>
              <w:keepLines/>
              <w:widowControl w:val="0"/>
              <w:ind w:right="720"/>
              <w:rPr>
                <w:rFonts w:ascii="Garamond" w:hAnsi="Garamond"/>
                <w:szCs w:val="20"/>
              </w:rPr>
            </w:pPr>
          </w:p>
          <w:p w14:paraId="23A4CDD5" w14:textId="77777777" w:rsidR="00122711" w:rsidRPr="0057343E" w:rsidRDefault="00122711" w:rsidP="007363F7">
            <w:pPr>
              <w:keepLines/>
              <w:widowControl w:val="0"/>
              <w:ind w:righ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smallCaps/>
              </w:rPr>
              <w:t>Stanford University</w:t>
            </w:r>
            <w:r w:rsidRPr="0057343E">
              <w:rPr>
                <w:rFonts w:ascii="Garamond" w:hAnsi="Garamond"/>
                <w:b/>
              </w:rPr>
              <w:t xml:space="preserve">, </w:t>
            </w:r>
            <w:r>
              <w:rPr>
                <w:rFonts w:ascii="Garamond" w:hAnsi="Garamond"/>
                <w:i/>
              </w:rPr>
              <w:t>Stanford</w:t>
            </w:r>
            <w:r w:rsidRPr="0057343E">
              <w:rPr>
                <w:rFonts w:ascii="Garamond" w:hAnsi="Garamond"/>
                <w:b/>
              </w:rPr>
              <w:t xml:space="preserve">, </w:t>
            </w:r>
            <w:r w:rsidRPr="0057343E">
              <w:rPr>
                <w:rFonts w:ascii="Garamond" w:hAnsi="Garamond"/>
                <w:i/>
              </w:rPr>
              <w:t>CA</w:t>
            </w:r>
          </w:p>
          <w:p w14:paraId="35FDB55A" w14:textId="04791A68" w:rsidR="00122711" w:rsidRPr="004447DE" w:rsidRDefault="00122711" w:rsidP="007363F7">
            <w:pPr>
              <w:keepLines/>
              <w:widowControl w:val="0"/>
              <w:tabs>
                <w:tab w:val="left" w:pos="0"/>
              </w:tabs>
              <w:ind w:right="324"/>
              <w:rPr>
                <w:rFonts w:ascii="Garamond" w:hAnsi="Garamond"/>
                <w:b/>
                <w:bCs/>
                <w:smallCaps/>
              </w:rPr>
            </w:pPr>
            <w:r w:rsidRPr="0057343E">
              <w:rPr>
                <w:rFonts w:ascii="Garamond" w:hAnsi="Garamond"/>
              </w:rPr>
              <w:t xml:space="preserve">American </w:t>
            </w:r>
            <w:proofErr w:type="spellStart"/>
            <w:r w:rsidRPr="0057343E">
              <w:rPr>
                <w:rFonts w:ascii="Garamond" w:hAnsi="Garamond"/>
              </w:rPr>
              <w:t>Economics</w:t>
            </w:r>
            <w:proofErr w:type="spellEnd"/>
            <w:r w:rsidRPr="0057343E">
              <w:rPr>
                <w:rFonts w:ascii="Garamond" w:hAnsi="Garamond"/>
              </w:rPr>
              <w:t xml:space="preserve"> Associ</w:t>
            </w:r>
            <w:r>
              <w:rPr>
                <w:rFonts w:ascii="Garamond" w:hAnsi="Garamond"/>
              </w:rPr>
              <w:t>ation Summer Program, Summer 199</w:t>
            </w:r>
            <w:r w:rsidRPr="0057343E">
              <w:rPr>
                <w:rFonts w:ascii="Garamond" w:hAnsi="Garamond"/>
              </w:rPr>
              <w:t>5</w:t>
            </w:r>
          </w:p>
        </w:tc>
      </w:tr>
      <w:tr w:rsidR="00122711" w14:paraId="78BEB57B" w14:textId="77777777" w:rsidTr="003F4F30">
        <w:tc>
          <w:tcPr>
            <w:tcW w:w="1892" w:type="dxa"/>
          </w:tcPr>
          <w:p w14:paraId="5D6172F1" w14:textId="77777777" w:rsidR="00122711" w:rsidRPr="004447DE" w:rsidRDefault="00122711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</w:p>
        </w:tc>
        <w:tc>
          <w:tcPr>
            <w:tcW w:w="355" w:type="dxa"/>
          </w:tcPr>
          <w:p w14:paraId="7E8360A3" w14:textId="77777777" w:rsidR="00122711" w:rsidRDefault="00122711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111F4C4C" w14:textId="77777777" w:rsidR="00122711" w:rsidRPr="004447DE" w:rsidRDefault="00122711" w:rsidP="007363F7">
            <w:pPr>
              <w:keepLines/>
              <w:widowControl w:val="0"/>
              <w:ind w:right="720"/>
              <w:rPr>
                <w:rFonts w:ascii="Garamond" w:hAnsi="Garamond"/>
                <w:b/>
                <w:bCs/>
                <w:smallCaps/>
              </w:rPr>
            </w:pPr>
          </w:p>
        </w:tc>
      </w:tr>
      <w:tr w:rsidR="00122711" w14:paraId="1E9ACB91" w14:textId="77777777" w:rsidTr="003F4F30">
        <w:tc>
          <w:tcPr>
            <w:tcW w:w="1892" w:type="dxa"/>
          </w:tcPr>
          <w:p w14:paraId="3E0D5101" w14:textId="77777777" w:rsidR="00122711" w:rsidRPr="00617A19" w:rsidRDefault="00122711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 w:rsidRPr="004447DE">
              <w:rPr>
                <w:smallCaps/>
                <w:color w:val="auto"/>
                <w:sz w:val="24"/>
              </w:rPr>
              <w:t>Scholarship</w:t>
            </w:r>
          </w:p>
          <w:p w14:paraId="1C7A1D40" w14:textId="1FE96736" w:rsidR="00122711" w:rsidRPr="004447DE" w:rsidRDefault="00122711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 w:rsidRPr="0076359E">
              <w:rPr>
                <w:smallCaps/>
                <w:color w:val="auto"/>
                <w:sz w:val="24"/>
              </w:rPr>
              <w:t>Books</w:t>
            </w:r>
            <w:r>
              <w:rPr>
                <w:smallCaps/>
                <w:color w:val="auto"/>
                <w:sz w:val="24"/>
              </w:rPr>
              <w:t xml:space="preserve"> &amp; Chapters</w:t>
            </w:r>
          </w:p>
        </w:tc>
        <w:tc>
          <w:tcPr>
            <w:tcW w:w="355" w:type="dxa"/>
          </w:tcPr>
          <w:p w14:paraId="13C0E5C9" w14:textId="77777777" w:rsidR="00122711" w:rsidRDefault="00122711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2267257F" w14:textId="5A572D1D" w:rsidR="00895812" w:rsidRDefault="00895812" w:rsidP="007363F7">
            <w:pPr>
              <w:keepLines/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  <w:smallCaps/>
              </w:rPr>
              <w:t xml:space="preserve">Potential on the Periphery: </w:t>
            </w:r>
            <w:r w:rsidRPr="003B3270">
              <w:rPr>
                <w:rFonts w:ascii="Garamond" w:hAnsi="Garamond"/>
                <w:smallCaps/>
              </w:rPr>
              <w:t>College Access from the Ground</w:t>
            </w:r>
            <w:r>
              <w:rPr>
                <w:rFonts w:ascii="Garamond" w:hAnsi="Garamond"/>
                <w:smallCaps/>
              </w:rPr>
              <w:t xml:space="preserve"> </w:t>
            </w:r>
            <w:r w:rsidRPr="003B3270">
              <w:rPr>
                <w:rFonts w:ascii="Garamond" w:hAnsi="Garamond"/>
                <w:smallCaps/>
              </w:rPr>
              <w:t>Up</w:t>
            </w:r>
            <w:r w:rsidRPr="00720A60">
              <w:rPr>
                <w:rFonts w:ascii="Garamond" w:hAnsi="Garamond"/>
                <w:i/>
              </w:rPr>
              <w:t xml:space="preserve"> </w:t>
            </w:r>
            <w:r w:rsidRPr="00720A60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a</w:t>
            </w:r>
            <w:r w:rsidRPr="00720A60">
              <w:rPr>
                <w:rFonts w:ascii="Garamond" w:hAnsi="Garamond"/>
              </w:rPr>
              <w:t xml:space="preserve"> study that contextualizes the experience of one college access organization within the broader realm of existing education practice, academic theory, and public policy)</w:t>
            </w:r>
            <w:r w:rsidR="005058D5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Rutgers Univ. Press</w:t>
            </w:r>
            <w:r w:rsidR="00E456DB">
              <w:rPr>
                <w:rFonts w:ascii="Garamond" w:hAnsi="Garamond"/>
              </w:rPr>
              <w:t xml:space="preserve"> 2018</w:t>
            </w:r>
            <w:r>
              <w:rPr>
                <w:rFonts w:ascii="Garamond" w:hAnsi="Garamond"/>
              </w:rPr>
              <w:t>)</w:t>
            </w:r>
          </w:p>
          <w:p w14:paraId="652B458B" w14:textId="77777777" w:rsidR="00895812" w:rsidRPr="006F6D4E" w:rsidRDefault="00895812" w:rsidP="007363F7">
            <w:pPr>
              <w:keepLines/>
              <w:widowControl w:val="0"/>
              <w:autoSpaceDE w:val="0"/>
              <w:autoSpaceDN w:val="0"/>
              <w:adjustRightInd w:val="0"/>
              <w:rPr>
                <w:rFonts w:ascii="Garamond" w:hAnsi="Garamond"/>
                <w:szCs w:val="20"/>
              </w:rPr>
            </w:pPr>
          </w:p>
          <w:p w14:paraId="6A3C1913" w14:textId="017903B7" w:rsidR="00122711" w:rsidRPr="004447DE" w:rsidRDefault="00895812" w:rsidP="007363F7">
            <w:pPr>
              <w:keepLines/>
              <w:widowControl w:val="0"/>
              <w:rPr>
                <w:rFonts w:ascii="Garamond" w:hAnsi="Garamond"/>
                <w:b/>
                <w:bCs/>
                <w:smallCaps/>
              </w:rPr>
            </w:pPr>
            <w:r w:rsidRPr="003B3270">
              <w:rPr>
                <w:rFonts w:ascii="Garamond" w:hAnsi="Garamond"/>
                <w:i/>
              </w:rPr>
              <w:t>Judging the Public Benefit Corporation</w:t>
            </w:r>
            <w:r>
              <w:rPr>
                <w:rFonts w:ascii="Garamond" w:hAnsi="Garamond"/>
              </w:rPr>
              <w:t xml:space="preserve">, in </w:t>
            </w:r>
            <w:r w:rsidRPr="003B3270">
              <w:rPr>
                <w:rFonts w:ascii="Garamond" w:hAnsi="Garamond"/>
                <w:smallCaps/>
              </w:rPr>
              <w:t xml:space="preserve">The </w:t>
            </w:r>
            <w:r>
              <w:rPr>
                <w:rFonts w:ascii="Garamond" w:hAnsi="Garamond"/>
                <w:smallCaps/>
              </w:rPr>
              <w:t xml:space="preserve">Cambridge Handbook of </w:t>
            </w:r>
            <w:r w:rsidRPr="003B3270">
              <w:rPr>
                <w:rFonts w:ascii="Garamond" w:hAnsi="Garamond"/>
                <w:smallCaps/>
              </w:rPr>
              <w:t>Social Enterprise Law</w:t>
            </w:r>
            <w:r>
              <w:rPr>
                <w:rFonts w:ascii="Garamond" w:hAnsi="Garamond"/>
              </w:rPr>
              <w:t xml:space="preserve"> (Benjamin Means &amp; J</w:t>
            </w:r>
            <w:r w:rsidR="00AB3776">
              <w:rPr>
                <w:rFonts w:ascii="Garamond" w:hAnsi="Garamond"/>
              </w:rPr>
              <w:t xml:space="preserve">oseph </w:t>
            </w:r>
            <w:proofErr w:type="spellStart"/>
            <w:r w:rsidR="00AB3776">
              <w:rPr>
                <w:rFonts w:ascii="Garamond" w:hAnsi="Garamond"/>
              </w:rPr>
              <w:t>Yockey</w:t>
            </w:r>
            <w:proofErr w:type="spellEnd"/>
            <w:r w:rsidR="00AB3776">
              <w:rPr>
                <w:rFonts w:ascii="Garamond" w:hAnsi="Garamond"/>
              </w:rPr>
              <w:t xml:space="preserve"> eds.) (</w:t>
            </w:r>
            <w:r>
              <w:rPr>
                <w:rFonts w:ascii="Garamond" w:hAnsi="Garamond"/>
              </w:rPr>
              <w:t>Cambridge Univ. Press</w:t>
            </w:r>
            <w:r w:rsidR="00E456DB">
              <w:rPr>
                <w:rFonts w:ascii="Garamond" w:hAnsi="Garamond"/>
              </w:rPr>
              <w:t xml:space="preserve"> 2018</w:t>
            </w:r>
            <w:r>
              <w:rPr>
                <w:rFonts w:ascii="Garamond" w:hAnsi="Garamond"/>
              </w:rPr>
              <w:t>)</w:t>
            </w:r>
          </w:p>
        </w:tc>
      </w:tr>
      <w:tr w:rsidR="00895812" w14:paraId="73A12006" w14:textId="77777777" w:rsidTr="003F4F30">
        <w:tc>
          <w:tcPr>
            <w:tcW w:w="1892" w:type="dxa"/>
          </w:tcPr>
          <w:p w14:paraId="22B5D2FA" w14:textId="77777777" w:rsidR="00895812" w:rsidRPr="004447DE" w:rsidRDefault="00895812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</w:p>
        </w:tc>
        <w:tc>
          <w:tcPr>
            <w:tcW w:w="355" w:type="dxa"/>
          </w:tcPr>
          <w:p w14:paraId="346B8D53" w14:textId="77777777" w:rsidR="00895812" w:rsidRDefault="00895812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1D196E17" w14:textId="77777777" w:rsidR="00895812" w:rsidRDefault="00895812" w:rsidP="007363F7">
            <w:pPr>
              <w:keepLines/>
              <w:widowControl w:val="0"/>
              <w:autoSpaceDE w:val="0"/>
              <w:autoSpaceDN w:val="0"/>
              <w:adjustRightInd w:val="0"/>
              <w:rPr>
                <w:rFonts w:ascii="Garamond" w:hAnsi="Garamond"/>
                <w:smallCaps/>
              </w:rPr>
            </w:pPr>
          </w:p>
        </w:tc>
      </w:tr>
      <w:tr w:rsidR="00895812" w14:paraId="673AA4BE" w14:textId="77777777" w:rsidTr="003F4F30">
        <w:tc>
          <w:tcPr>
            <w:tcW w:w="1892" w:type="dxa"/>
          </w:tcPr>
          <w:p w14:paraId="5CEC5DE9" w14:textId="7B4A92D3" w:rsidR="00895812" w:rsidRPr="004447DE" w:rsidRDefault="00895812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 w:rsidRPr="0076359E">
              <w:rPr>
                <w:smallCaps/>
                <w:color w:val="auto"/>
                <w:sz w:val="24"/>
              </w:rPr>
              <w:t>Law Review Articles</w:t>
            </w:r>
          </w:p>
        </w:tc>
        <w:tc>
          <w:tcPr>
            <w:tcW w:w="355" w:type="dxa"/>
          </w:tcPr>
          <w:p w14:paraId="72DBA947" w14:textId="77777777" w:rsidR="00895812" w:rsidRDefault="00895812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615A65DA" w14:textId="77777777" w:rsidR="00895812" w:rsidRPr="005F5045" w:rsidRDefault="00895812" w:rsidP="007363F7">
            <w:pPr>
              <w:keepLines/>
              <w:widowControl w:val="0"/>
              <w:ind w:right="720"/>
              <w:jc w:val="both"/>
              <w:rPr>
                <w:rFonts w:ascii="Garamond" w:hAnsi="Garamond"/>
              </w:rPr>
            </w:pPr>
            <w:r w:rsidRPr="00720A60">
              <w:rPr>
                <w:rFonts w:ascii="Garamond" w:hAnsi="Garamond"/>
                <w:i/>
              </w:rPr>
              <w:t>Delaware’s Global Threat</w:t>
            </w:r>
            <w:r w:rsidRPr="00720A60">
              <w:rPr>
                <w:rFonts w:ascii="Garamond" w:hAnsi="Garamond"/>
              </w:rPr>
              <w:t xml:space="preserve">, 41 </w:t>
            </w:r>
            <w:r w:rsidRPr="00720A60">
              <w:rPr>
                <w:rFonts w:ascii="Garamond" w:hAnsi="Garamond"/>
                <w:smallCaps/>
              </w:rPr>
              <w:t>J. Corp. L.</w:t>
            </w:r>
            <w:r>
              <w:rPr>
                <w:rFonts w:ascii="Garamond" w:hAnsi="Garamond"/>
              </w:rPr>
              <w:t xml:space="preserve"> 1 (2015</w:t>
            </w:r>
            <w:r w:rsidRPr="00720A60">
              <w:rPr>
                <w:rFonts w:ascii="Garamond" w:hAnsi="Garamond"/>
              </w:rPr>
              <w:t>)</w:t>
            </w:r>
          </w:p>
          <w:p w14:paraId="64025847" w14:textId="77777777" w:rsidR="00895812" w:rsidRPr="006F6D4E" w:rsidRDefault="00895812" w:rsidP="007363F7">
            <w:pPr>
              <w:keepLines/>
              <w:widowControl w:val="0"/>
              <w:ind w:right="720"/>
              <w:jc w:val="both"/>
              <w:rPr>
                <w:rFonts w:ascii="Garamond" w:hAnsi="Garamond"/>
                <w:i/>
                <w:szCs w:val="20"/>
              </w:rPr>
            </w:pPr>
          </w:p>
          <w:p w14:paraId="4901794E" w14:textId="77777777" w:rsidR="00895812" w:rsidRDefault="00895812" w:rsidP="007363F7">
            <w:pPr>
              <w:keepLines/>
              <w:widowControl w:val="0"/>
              <w:ind w:right="3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Muted Deterrence: The Enhanced Attribution of Tort Liability to U.S. Higher Education Institutions for Student Safety</w:t>
            </w:r>
            <w:r>
              <w:rPr>
                <w:rFonts w:ascii="Garamond" w:hAnsi="Garamond"/>
              </w:rPr>
              <w:t xml:space="preserve">, 22 </w:t>
            </w:r>
            <w:r w:rsidRPr="00F00E97">
              <w:rPr>
                <w:rFonts w:ascii="Garamond" w:hAnsi="Garamond"/>
                <w:smallCaps/>
              </w:rPr>
              <w:t>Torts L. J.</w:t>
            </w:r>
            <w:r>
              <w:rPr>
                <w:rFonts w:ascii="Garamond" w:hAnsi="Garamond"/>
              </w:rPr>
              <w:t xml:space="preserve"> 75 (2014) (Australian peer-reviewed journal)</w:t>
            </w:r>
          </w:p>
          <w:p w14:paraId="5897732F" w14:textId="77777777" w:rsidR="00895812" w:rsidRPr="006F6D4E" w:rsidRDefault="00895812" w:rsidP="007363F7">
            <w:pPr>
              <w:keepLines/>
              <w:widowControl w:val="0"/>
              <w:ind w:right="36"/>
              <w:jc w:val="both"/>
              <w:rPr>
                <w:rFonts w:ascii="Garamond" w:hAnsi="Garamond"/>
                <w:szCs w:val="20"/>
              </w:rPr>
            </w:pPr>
          </w:p>
          <w:p w14:paraId="452AC7B6" w14:textId="77777777" w:rsidR="00895812" w:rsidRDefault="00895812" w:rsidP="007363F7">
            <w:pPr>
              <w:keepLines/>
              <w:widowControl w:val="0"/>
              <w:ind w:right="36"/>
              <w:jc w:val="both"/>
              <w:rPr>
                <w:rFonts w:ascii="Garamond" w:hAnsi="Garamond"/>
                <w:i/>
              </w:rPr>
            </w:pPr>
            <w:r w:rsidRPr="004447DE">
              <w:rPr>
                <w:rFonts w:ascii="Garamond" w:hAnsi="Garamond"/>
                <w:i/>
              </w:rPr>
              <w:t xml:space="preserve">Class </w:t>
            </w:r>
            <w:r>
              <w:rPr>
                <w:rFonts w:ascii="Garamond" w:hAnsi="Garamond"/>
                <w:i/>
              </w:rPr>
              <w:t>Dismissed:  Rethinking</w:t>
            </w:r>
            <w:r w:rsidRPr="004447DE">
              <w:rPr>
                <w:rFonts w:ascii="Garamond" w:hAnsi="Garamond"/>
                <w:i/>
              </w:rPr>
              <w:t xml:space="preserve"> Socio-Economic Status and Higher Education Attainment</w:t>
            </w:r>
            <w:r>
              <w:rPr>
                <w:rFonts w:ascii="Garamond" w:hAnsi="Garamond"/>
              </w:rPr>
              <w:t>,</w:t>
            </w:r>
            <w:r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</w:rPr>
              <w:t xml:space="preserve">2014 </w:t>
            </w:r>
            <w:r>
              <w:rPr>
                <w:rFonts w:ascii="Garamond" w:hAnsi="Garamond"/>
                <w:smallCaps/>
              </w:rPr>
              <w:t>Ariz. St. L. J</w:t>
            </w:r>
            <w:r w:rsidRPr="005B3FBD">
              <w:rPr>
                <w:rFonts w:ascii="Garamond" w:hAnsi="Garamond"/>
                <w:smallCaps/>
              </w:rPr>
              <w:t>.</w:t>
            </w:r>
            <w:r>
              <w:rPr>
                <w:rFonts w:ascii="Garamond" w:hAnsi="Garamond"/>
              </w:rPr>
              <w:t xml:space="preserve"> 231 (2014)</w:t>
            </w:r>
          </w:p>
          <w:p w14:paraId="153C71B4" w14:textId="77777777" w:rsidR="00895812" w:rsidRPr="006F6D4E" w:rsidRDefault="00895812" w:rsidP="007363F7">
            <w:pPr>
              <w:keepLines/>
              <w:widowControl w:val="0"/>
              <w:ind w:right="36"/>
              <w:jc w:val="both"/>
              <w:rPr>
                <w:rFonts w:ascii="Garamond" w:hAnsi="Garamond"/>
                <w:i/>
                <w:szCs w:val="20"/>
              </w:rPr>
            </w:pPr>
          </w:p>
          <w:p w14:paraId="4AE2BF09" w14:textId="77777777" w:rsidR="00895812" w:rsidRPr="004447DE" w:rsidRDefault="00895812" w:rsidP="007363F7">
            <w:pPr>
              <w:keepLines/>
              <w:widowControl w:val="0"/>
              <w:ind w:right="36"/>
              <w:jc w:val="both"/>
              <w:rPr>
                <w:rFonts w:ascii="Garamond" w:hAnsi="Garamond"/>
                <w:i/>
              </w:rPr>
            </w:pPr>
            <w:r w:rsidRPr="004447DE">
              <w:rPr>
                <w:rFonts w:ascii="Garamond" w:hAnsi="Garamond"/>
                <w:i/>
              </w:rPr>
              <w:t>For-</w:t>
            </w:r>
            <w:r w:rsidRPr="00EB460F">
              <w:rPr>
                <w:rFonts w:ascii="Garamond" w:hAnsi="Garamond"/>
                <w:i/>
              </w:rPr>
              <w:t>Profits and the Market Paradox</w:t>
            </w:r>
            <w:r>
              <w:rPr>
                <w:rFonts w:ascii="Garamond" w:hAnsi="Garamond"/>
                <w:i/>
              </w:rPr>
              <w:t>,</w:t>
            </w:r>
            <w:r>
              <w:rPr>
                <w:rFonts w:ascii="Garamond" w:hAnsi="Garamond"/>
              </w:rPr>
              <w:t xml:space="preserve"> 48</w:t>
            </w:r>
            <w:r w:rsidRPr="004447DE">
              <w:rPr>
                <w:rFonts w:ascii="Garamond" w:hAnsi="Garamond"/>
              </w:rPr>
              <w:t xml:space="preserve"> </w:t>
            </w:r>
            <w:r w:rsidRPr="004447DE">
              <w:rPr>
                <w:rFonts w:ascii="Garamond" w:hAnsi="Garamond"/>
                <w:smallCaps/>
              </w:rPr>
              <w:t>Wake Forest L. Rev.</w:t>
            </w:r>
            <w:r w:rsidRPr="004447D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333 (</w:t>
            </w:r>
            <w:r w:rsidRPr="004447DE">
              <w:rPr>
                <w:rFonts w:ascii="Garamond" w:hAnsi="Garamond"/>
              </w:rPr>
              <w:t>2013)</w:t>
            </w:r>
            <w:r w:rsidRPr="004447DE">
              <w:rPr>
                <w:rFonts w:ascii="Garamond" w:hAnsi="Garamond"/>
                <w:i/>
              </w:rPr>
              <w:t xml:space="preserve"> </w:t>
            </w:r>
          </w:p>
          <w:p w14:paraId="77C7A265" w14:textId="77777777" w:rsidR="00895812" w:rsidRPr="00895812" w:rsidRDefault="00895812" w:rsidP="007363F7">
            <w:pPr>
              <w:keepLines/>
              <w:widowControl w:val="0"/>
              <w:ind w:right="36"/>
              <w:jc w:val="both"/>
              <w:rPr>
                <w:rFonts w:ascii="Garamond" w:hAnsi="Garamond"/>
                <w:i/>
                <w:szCs w:val="20"/>
              </w:rPr>
            </w:pPr>
          </w:p>
          <w:p w14:paraId="40ADECA2" w14:textId="77777777" w:rsidR="00895812" w:rsidRPr="004447DE" w:rsidRDefault="00895812" w:rsidP="007363F7">
            <w:pPr>
              <w:keepLines/>
              <w:widowControl w:val="0"/>
              <w:ind w:right="36"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The Corporate Immune System: </w:t>
            </w:r>
            <w:r w:rsidRPr="004447DE">
              <w:rPr>
                <w:rFonts w:ascii="Garamond" w:hAnsi="Garamond"/>
                <w:i/>
              </w:rPr>
              <w:t>Governing from the Inside-Out</w:t>
            </w:r>
            <w:r>
              <w:rPr>
                <w:rFonts w:ascii="Garamond" w:hAnsi="Garamond"/>
              </w:rPr>
              <w:t>,</w:t>
            </w:r>
            <w:r w:rsidRPr="004447DE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smallCaps/>
              </w:rPr>
              <w:t>2013</w:t>
            </w:r>
            <w:r w:rsidRPr="004447DE">
              <w:rPr>
                <w:rFonts w:ascii="Garamond" w:hAnsi="Garamond"/>
              </w:rPr>
              <w:t xml:space="preserve"> </w:t>
            </w:r>
            <w:r w:rsidRPr="004447DE">
              <w:rPr>
                <w:rFonts w:ascii="Garamond" w:hAnsi="Garamond"/>
                <w:smallCaps/>
              </w:rPr>
              <w:t xml:space="preserve">Ill.  L. Rev. </w:t>
            </w:r>
            <w:r>
              <w:rPr>
                <w:rFonts w:ascii="Garamond" w:hAnsi="Garamond"/>
                <w:smallCaps/>
              </w:rPr>
              <w:t>1131 (</w:t>
            </w:r>
            <w:r>
              <w:rPr>
                <w:rFonts w:ascii="Garamond" w:hAnsi="Garamond"/>
              </w:rPr>
              <w:t>2013)</w:t>
            </w:r>
            <w:r w:rsidRPr="004447DE">
              <w:rPr>
                <w:rFonts w:ascii="Garamond" w:hAnsi="Garamond"/>
              </w:rPr>
              <w:t xml:space="preserve"> </w:t>
            </w:r>
          </w:p>
          <w:p w14:paraId="6B5BEB13" w14:textId="77777777" w:rsidR="00895812" w:rsidRPr="008E0EBF" w:rsidRDefault="00895812" w:rsidP="007363F7">
            <w:pPr>
              <w:keepLines/>
              <w:widowControl w:val="0"/>
              <w:ind w:right="36"/>
              <w:jc w:val="both"/>
              <w:rPr>
                <w:rFonts w:ascii="Garamond" w:hAnsi="Garamond"/>
                <w:i/>
                <w:szCs w:val="20"/>
              </w:rPr>
            </w:pPr>
          </w:p>
          <w:p w14:paraId="40562B24" w14:textId="77777777" w:rsidR="00895812" w:rsidRPr="004447DE" w:rsidRDefault="00895812" w:rsidP="007363F7">
            <w:pPr>
              <w:keepLines/>
              <w:widowControl w:val="0"/>
              <w:ind w:right="36"/>
              <w:jc w:val="both"/>
              <w:rPr>
                <w:rFonts w:ascii="Garamond" w:hAnsi="Garamond"/>
                <w:iCs/>
                <w:color w:val="000000"/>
              </w:rPr>
            </w:pPr>
            <w:r w:rsidRPr="004447DE">
              <w:rPr>
                <w:rFonts w:ascii="Garamond" w:hAnsi="Garamond"/>
                <w:i/>
              </w:rPr>
              <w:t>Lost in Transition:  The Implications of Social Capital for Higher Education Access</w:t>
            </w:r>
            <w:r w:rsidRPr="004447DE">
              <w:rPr>
                <w:rFonts w:ascii="Garamond" w:hAnsi="Garamond"/>
              </w:rPr>
              <w:t xml:space="preserve">, 87 </w:t>
            </w:r>
            <w:r w:rsidRPr="004447DE">
              <w:rPr>
                <w:rFonts w:ascii="Garamond" w:hAnsi="Garamond"/>
                <w:smallCaps/>
              </w:rPr>
              <w:t>Notre Dame L. Rev. 205</w:t>
            </w:r>
            <w:r w:rsidRPr="004447DE">
              <w:rPr>
                <w:rFonts w:ascii="Garamond" w:hAnsi="Garamond"/>
              </w:rPr>
              <w:t xml:space="preserve"> (2011)</w:t>
            </w:r>
          </w:p>
          <w:p w14:paraId="44C1EC01" w14:textId="77777777" w:rsidR="00895812" w:rsidRPr="008E0EBF" w:rsidRDefault="00895812" w:rsidP="007363F7">
            <w:pPr>
              <w:keepLines/>
              <w:widowControl w:val="0"/>
              <w:ind w:right="36"/>
              <w:jc w:val="both"/>
              <w:rPr>
                <w:rFonts w:ascii="Garamond" w:hAnsi="Garamond"/>
                <w:i/>
                <w:iCs/>
                <w:color w:val="000000"/>
                <w:szCs w:val="20"/>
              </w:rPr>
            </w:pPr>
          </w:p>
          <w:p w14:paraId="5E87B9BA" w14:textId="77777777" w:rsidR="00895812" w:rsidRPr="004447DE" w:rsidRDefault="00895812" w:rsidP="007363F7">
            <w:pPr>
              <w:keepLines/>
              <w:widowControl w:val="0"/>
              <w:ind w:right="36"/>
              <w:jc w:val="both"/>
              <w:rPr>
                <w:rFonts w:ascii="Garamond" w:hAnsi="Garamond"/>
                <w:i/>
                <w:iCs/>
                <w:color w:val="000000"/>
              </w:rPr>
            </w:pPr>
            <w:r w:rsidRPr="004447DE">
              <w:rPr>
                <w:rFonts w:ascii="Garamond" w:hAnsi="Garamond"/>
                <w:i/>
                <w:iCs/>
                <w:color w:val="000000"/>
              </w:rPr>
              <w:t xml:space="preserve">Innkeepers:  A Unifying Theory of the In-house Counsel Role, </w:t>
            </w:r>
            <w:r w:rsidRPr="004447DE">
              <w:rPr>
                <w:rFonts w:ascii="Garamond" w:hAnsi="Garamond"/>
                <w:iCs/>
                <w:smallCaps/>
                <w:color w:val="000000"/>
              </w:rPr>
              <w:t>41 Seton Hall. L. Rev 77</w:t>
            </w:r>
            <w:r w:rsidRPr="004447DE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4447DE">
              <w:rPr>
                <w:rFonts w:ascii="Garamond" w:hAnsi="Garamond"/>
                <w:iCs/>
                <w:color w:val="000000"/>
              </w:rPr>
              <w:t>(2011)</w:t>
            </w:r>
            <w:r w:rsidRPr="004447DE">
              <w:rPr>
                <w:rFonts w:ascii="Garamond" w:hAnsi="Garamond"/>
                <w:i/>
                <w:iCs/>
                <w:color w:val="000000"/>
              </w:rPr>
              <w:t xml:space="preserve"> (with James D. </w:t>
            </w:r>
            <w:proofErr w:type="spellStart"/>
            <w:r w:rsidRPr="004447DE">
              <w:rPr>
                <w:rFonts w:ascii="Garamond" w:hAnsi="Garamond"/>
                <w:i/>
                <w:iCs/>
                <w:color w:val="000000"/>
              </w:rPr>
              <w:t>Dinnage</w:t>
            </w:r>
            <w:proofErr w:type="spellEnd"/>
            <w:r w:rsidRPr="004447DE">
              <w:rPr>
                <w:rFonts w:ascii="Garamond" w:hAnsi="Garamond"/>
                <w:i/>
                <w:iCs/>
                <w:color w:val="000000"/>
              </w:rPr>
              <w:t>)</w:t>
            </w:r>
          </w:p>
          <w:p w14:paraId="17ED0CD5" w14:textId="77777777" w:rsidR="00895812" w:rsidRPr="008E0EBF" w:rsidRDefault="00895812" w:rsidP="007363F7">
            <w:pPr>
              <w:keepLines/>
              <w:widowControl w:val="0"/>
              <w:ind w:right="36"/>
              <w:rPr>
                <w:rFonts w:ascii="Garamond" w:hAnsi="Garamond"/>
                <w:szCs w:val="20"/>
              </w:rPr>
            </w:pPr>
          </w:p>
          <w:p w14:paraId="7C120F4F" w14:textId="77777777" w:rsidR="00895812" w:rsidRPr="004447DE" w:rsidRDefault="00895812" w:rsidP="007363F7">
            <w:pPr>
              <w:keepLines/>
              <w:widowControl w:val="0"/>
              <w:ind w:right="36"/>
              <w:jc w:val="both"/>
              <w:rPr>
                <w:rFonts w:ascii="Garamond" w:hAnsi="Garamond"/>
              </w:rPr>
            </w:pPr>
            <w:r w:rsidRPr="004447DE">
              <w:rPr>
                <w:rFonts w:ascii="Garamond" w:hAnsi="Garamond"/>
                <w:i/>
              </w:rPr>
              <w:t>Corporate Governance Reform as a Credence Service</w:t>
            </w:r>
            <w:r w:rsidRPr="004447DE">
              <w:rPr>
                <w:rFonts w:ascii="Garamond" w:hAnsi="Garamond"/>
              </w:rPr>
              <w:t xml:space="preserve">, 5 </w:t>
            </w:r>
            <w:r w:rsidRPr="004447DE">
              <w:rPr>
                <w:rFonts w:ascii="Garamond" w:hAnsi="Garamond"/>
                <w:smallCaps/>
              </w:rPr>
              <w:t>J. Bus. &amp; Tech L</w:t>
            </w:r>
            <w:r w:rsidRPr="004447DE">
              <w:rPr>
                <w:rFonts w:ascii="Garamond" w:hAnsi="Garamond"/>
              </w:rPr>
              <w:t xml:space="preserve">. 113 (2010) </w:t>
            </w:r>
          </w:p>
          <w:p w14:paraId="5BE231EC" w14:textId="77777777" w:rsidR="00895812" w:rsidRPr="008E0EBF" w:rsidRDefault="00895812" w:rsidP="007363F7">
            <w:pPr>
              <w:keepLines/>
              <w:widowControl w:val="0"/>
              <w:ind w:right="36"/>
              <w:jc w:val="both"/>
              <w:rPr>
                <w:rFonts w:ascii="Garamond" w:hAnsi="Garamond"/>
                <w:szCs w:val="20"/>
              </w:rPr>
            </w:pPr>
          </w:p>
          <w:p w14:paraId="0FA21E0D" w14:textId="77777777" w:rsidR="00895812" w:rsidRPr="004447DE" w:rsidRDefault="00895812" w:rsidP="007363F7">
            <w:pPr>
              <w:keepLines/>
              <w:widowControl w:val="0"/>
              <w:ind w:right="36"/>
              <w:jc w:val="both"/>
              <w:rPr>
                <w:rFonts w:ascii="Garamond" w:hAnsi="Garamond"/>
              </w:rPr>
            </w:pPr>
            <w:r w:rsidRPr="004447DE">
              <w:rPr>
                <w:rFonts w:ascii="Garamond" w:hAnsi="Garamond"/>
                <w:i/>
              </w:rPr>
              <w:lastRenderedPageBreak/>
              <w:t>The Under-examination of In-house Counsel,</w:t>
            </w:r>
            <w:r w:rsidRPr="004447DE">
              <w:rPr>
                <w:rFonts w:ascii="Garamond" w:hAnsi="Garamond"/>
              </w:rPr>
              <w:t xml:space="preserve"> 11 </w:t>
            </w:r>
            <w:r w:rsidRPr="004447DE">
              <w:rPr>
                <w:rFonts w:ascii="Garamond" w:hAnsi="Garamond"/>
                <w:smallCaps/>
              </w:rPr>
              <w:t>Transactions Tenn. J. Bus. L.</w:t>
            </w:r>
            <w:r w:rsidRPr="004447DE">
              <w:rPr>
                <w:rFonts w:ascii="Garamond" w:hAnsi="Garamond"/>
              </w:rPr>
              <w:t xml:space="preserve"> 145 (2010) </w:t>
            </w:r>
          </w:p>
          <w:p w14:paraId="5967A11A" w14:textId="77777777" w:rsidR="00895812" w:rsidRPr="008E0EBF" w:rsidRDefault="00895812" w:rsidP="007363F7">
            <w:pPr>
              <w:keepLines/>
              <w:widowControl w:val="0"/>
              <w:ind w:right="36"/>
              <w:jc w:val="both"/>
              <w:rPr>
                <w:rFonts w:ascii="Garamond" w:hAnsi="Garamond"/>
                <w:i/>
                <w:szCs w:val="20"/>
              </w:rPr>
            </w:pPr>
          </w:p>
          <w:p w14:paraId="779C4E1D" w14:textId="77777777" w:rsidR="00895812" w:rsidRPr="004447DE" w:rsidRDefault="00895812" w:rsidP="007363F7">
            <w:pPr>
              <w:keepLines/>
              <w:widowControl w:val="0"/>
              <w:ind w:right="36"/>
              <w:jc w:val="both"/>
              <w:rPr>
                <w:rFonts w:ascii="Garamond" w:hAnsi="Garamond"/>
              </w:rPr>
            </w:pPr>
            <w:r w:rsidRPr="004447DE">
              <w:rPr>
                <w:rFonts w:ascii="Garamond" w:hAnsi="Garamond"/>
                <w:i/>
              </w:rPr>
              <w:t>Picking Friends from the Crowd: Supreme Court Amicus Participation as Political Symbolism</w:t>
            </w:r>
            <w:r w:rsidRPr="004447DE">
              <w:rPr>
                <w:rFonts w:ascii="Garamond" w:hAnsi="Garamond"/>
              </w:rPr>
              <w:t xml:space="preserve">, 42 </w:t>
            </w:r>
            <w:r w:rsidRPr="004447DE">
              <w:rPr>
                <w:rFonts w:ascii="Garamond" w:hAnsi="Garamond"/>
                <w:smallCaps/>
              </w:rPr>
              <w:t>Conn. L. Rev.</w:t>
            </w:r>
            <w:r w:rsidRPr="004447DE">
              <w:rPr>
                <w:rFonts w:ascii="Garamond" w:hAnsi="Garamond"/>
              </w:rPr>
              <w:t xml:space="preserve"> 185 (2009)</w:t>
            </w:r>
          </w:p>
          <w:p w14:paraId="426DAF69" w14:textId="77777777" w:rsidR="00895812" w:rsidRPr="008E0EBF" w:rsidRDefault="00895812" w:rsidP="007363F7">
            <w:pPr>
              <w:keepLines/>
              <w:widowControl w:val="0"/>
              <w:ind w:right="36"/>
              <w:jc w:val="both"/>
              <w:rPr>
                <w:rFonts w:ascii="Garamond" w:hAnsi="Garamond"/>
                <w:szCs w:val="20"/>
              </w:rPr>
            </w:pPr>
          </w:p>
          <w:p w14:paraId="04EF392C" w14:textId="77777777" w:rsidR="00895812" w:rsidRPr="004447DE" w:rsidRDefault="00895812" w:rsidP="007363F7">
            <w:pPr>
              <w:keepLines/>
              <w:widowControl w:val="0"/>
              <w:ind w:right="36"/>
              <w:rPr>
                <w:rFonts w:ascii="Garamond" w:hAnsi="Garamond"/>
              </w:rPr>
            </w:pPr>
            <w:r w:rsidRPr="004447DE">
              <w:rPr>
                <w:rFonts w:ascii="Garamond" w:hAnsi="Garamond"/>
                <w:i/>
              </w:rPr>
              <w:t xml:space="preserve">Taking the Blue Pill:  The Imponderable Impact of Executive Compensation Reform, </w:t>
            </w:r>
            <w:r w:rsidRPr="004447DE">
              <w:rPr>
                <w:rFonts w:ascii="Garamond" w:hAnsi="Garamond"/>
              </w:rPr>
              <w:t>62</w:t>
            </w:r>
            <w:r w:rsidRPr="004447DE">
              <w:rPr>
                <w:rFonts w:ascii="Garamond" w:hAnsi="Garamond"/>
                <w:smallCaps/>
              </w:rPr>
              <w:t xml:space="preserve"> S.M.U. L. Rev</w:t>
            </w:r>
            <w:r w:rsidRPr="004447DE">
              <w:rPr>
                <w:rFonts w:ascii="Garamond" w:hAnsi="Garamond"/>
              </w:rPr>
              <w:t>. 299 (2009) (</w:t>
            </w:r>
            <w:r w:rsidRPr="004447DE">
              <w:rPr>
                <w:rFonts w:ascii="Garamond" w:hAnsi="Garamond"/>
                <w:i/>
              </w:rPr>
              <w:t>Excerpted in</w:t>
            </w:r>
            <w:r w:rsidRPr="004447DE">
              <w:rPr>
                <w:rFonts w:ascii="Garamond" w:hAnsi="Garamond"/>
              </w:rPr>
              <w:t xml:space="preserve"> Thomas W. </w:t>
            </w:r>
            <w:proofErr w:type="spellStart"/>
            <w:r w:rsidRPr="004447DE">
              <w:rPr>
                <w:rFonts w:ascii="Garamond" w:hAnsi="Garamond"/>
              </w:rPr>
              <w:t>Joo</w:t>
            </w:r>
            <w:proofErr w:type="spellEnd"/>
            <w:r w:rsidRPr="004447DE">
              <w:rPr>
                <w:rFonts w:ascii="Garamond" w:hAnsi="Garamond"/>
              </w:rPr>
              <w:t xml:space="preserve">, </w:t>
            </w:r>
            <w:r w:rsidRPr="004447DE">
              <w:rPr>
                <w:rFonts w:ascii="Garamond" w:hAnsi="Garamond"/>
                <w:smallCaps/>
              </w:rPr>
              <w:t>Corporate Governance:  Theory, Law, and Policy (</w:t>
            </w:r>
            <w:r w:rsidRPr="004447DE">
              <w:rPr>
                <w:rFonts w:ascii="Garamond" w:hAnsi="Garamond"/>
              </w:rPr>
              <w:t>Carolina Academic Press (2009)).</w:t>
            </w:r>
          </w:p>
          <w:p w14:paraId="68710148" w14:textId="77777777" w:rsidR="00895812" w:rsidRPr="008E0EBF" w:rsidRDefault="00895812" w:rsidP="007363F7">
            <w:pPr>
              <w:keepLines/>
              <w:widowControl w:val="0"/>
              <w:ind w:right="36"/>
              <w:rPr>
                <w:rFonts w:ascii="Garamond" w:hAnsi="Garamond"/>
                <w:szCs w:val="20"/>
              </w:rPr>
            </w:pPr>
          </w:p>
          <w:p w14:paraId="6FFA0FBC" w14:textId="524B1F1E" w:rsidR="00895812" w:rsidRDefault="00895812" w:rsidP="007363F7">
            <w:pPr>
              <w:keepLines/>
              <w:widowControl w:val="0"/>
              <w:autoSpaceDE w:val="0"/>
              <w:autoSpaceDN w:val="0"/>
              <w:adjustRightInd w:val="0"/>
              <w:ind w:right="36"/>
              <w:rPr>
                <w:rFonts w:ascii="Garamond" w:hAnsi="Garamond"/>
                <w:smallCaps/>
              </w:rPr>
            </w:pPr>
            <w:r w:rsidRPr="004447DE">
              <w:rPr>
                <w:rFonts w:ascii="Garamond" w:hAnsi="Garamond"/>
                <w:i/>
              </w:rPr>
              <w:t>Branding the Small Wonder: Delaware's Dominance and the Market for Corporate Law</w:t>
            </w:r>
            <w:r w:rsidRPr="004447DE">
              <w:rPr>
                <w:rFonts w:ascii="Garamond" w:hAnsi="Garamond"/>
              </w:rPr>
              <w:t xml:space="preserve">, 42 </w:t>
            </w:r>
            <w:r w:rsidRPr="004447DE">
              <w:rPr>
                <w:rFonts w:ascii="Garamond" w:hAnsi="Garamond"/>
                <w:smallCaps/>
              </w:rPr>
              <w:t>U. Rich. L. Rev.</w:t>
            </w:r>
            <w:r w:rsidRPr="004447DE">
              <w:rPr>
                <w:rFonts w:ascii="Garamond" w:hAnsi="Garamond"/>
              </w:rPr>
              <w:t xml:space="preserve"> 1129 (2008)</w:t>
            </w:r>
          </w:p>
        </w:tc>
      </w:tr>
      <w:tr w:rsidR="008E0EBF" w14:paraId="4A2D555C" w14:textId="77777777" w:rsidTr="00747094">
        <w:trPr>
          <w:trHeight w:val="333"/>
        </w:trPr>
        <w:tc>
          <w:tcPr>
            <w:tcW w:w="1892" w:type="dxa"/>
          </w:tcPr>
          <w:p w14:paraId="716F064D" w14:textId="77777777" w:rsidR="008E0EBF" w:rsidRPr="0076359E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</w:p>
        </w:tc>
        <w:tc>
          <w:tcPr>
            <w:tcW w:w="355" w:type="dxa"/>
          </w:tcPr>
          <w:p w14:paraId="4B51A8D0" w14:textId="77777777" w:rsidR="008E0EBF" w:rsidRDefault="008E0EBF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16C622AF" w14:textId="77777777" w:rsidR="008E0EBF" w:rsidRPr="00720A60" w:rsidRDefault="008E0EBF" w:rsidP="007363F7">
            <w:pPr>
              <w:keepLines/>
              <w:widowControl w:val="0"/>
              <w:ind w:right="720"/>
              <w:jc w:val="both"/>
              <w:rPr>
                <w:rFonts w:ascii="Garamond" w:hAnsi="Garamond"/>
                <w:i/>
              </w:rPr>
            </w:pPr>
          </w:p>
        </w:tc>
      </w:tr>
      <w:tr w:rsidR="008E0EBF" w14:paraId="04C8E8A9" w14:textId="77777777" w:rsidTr="003F4F30">
        <w:tc>
          <w:tcPr>
            <w:tcW w:w="1892" w:type="dxa"/>
          </w:tcPr>
          <w:p w14:paraId="2297726B" w14:textId="77777777" w:rsidR="008E0EBF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 w:rsidRPr="004447DE">
              <w:rPr>
                <w:smallCaps/>
                <w:color w:val="auto"/>
                <w:sz w:val="24"/>
              </w:rPr>
              <w:t xml:space="preserve">Other </w:t>
            </w:r>
          </w:p>
          <w:p w14:paraId="270D2EE4" w14:textId="77777777" w:rsidR="008E0EBF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>
              <w:rPr>
                <w:smallCaps/>
                <w:color w:val="auto"/>
                <w:sz w:val="24"/>
              </w:rPr>
              <w:t>Selected</w:t>
            </w:r>
          </w:p>
          <w:p w14:paraId="79023AC9" w14:textId="3FCCA743" w:rsidR="008E0EBF" w:rsidRPr="0076359E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 w:rsidRPr="004447DE">
              <w:rPr>
                <w:smallCaps/>
                <w:color w:val="auto"/>
                <w:sz w:val="24"/>
              </w:rPr>
              <w:t>Publications</w:t>
            </w:r>
          </w:p>
        </w:tc>
        <w:tc>
          <w:tcPr>
            <w:tcW w:w="355" w:type="dxa"/>
          </w:tcPr>
          <w:p w14:paraId="6596332B" w14:textId="77777777" w:rsidR="008E0EBF" w:rsidRDefault="008E0EBF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7B122C47" w14:textId="3729D22C" w:rsidR="00C40580" w:rsidRPr="00747094" w:rsidRDefault="00C40580" w:rsidP="00C40580">
            <w:pPr>
              <w:rPr>
                <w:rFonts w:asciiTheme="minorHAnsi" w:eastAsia="Times New Roman" w:hAnsiTheme="minorHAnsi"/>
                <w:color w:val="000000" w:themeColor="text1"/>
              </w:rPr>
            </w:pPr>
            <w:r w:rsidRPr="00747094">
              <w:rPr>
                <w:rFonts w:asciiTheme="minorHAnsi" w:eastAsia="Times New Roman" w:hAnsiTheme="minorHAnsi" w:cs="Gill Sans"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Corporate Political Activism 5.0</w:t>
            </w:r>
            <w:r w:rsidRPr="00747094">
              <w:rPr>
                <w:rFonts w:asciiTheme="minorHAnsi" w:eastAsia="Times New Roman" w:hAnsiTheme="minorHAnsi" w:cs="Gill Sans"/>
                <w:color w:val="000000" w:themeColor="text1"/>
                <w:shd w:val="clear" w:color="auto" w:fill="FFFFFF"/>
              </w:rPr>
              <w:t xml:space="preserve">, JOTWELL (April 20, 2018) (reviewing Elizabeth </w:t>
            </w:r>
            <w:proofErr w:type="spellStart"/>
            <w:r w:rsidRPr="00747094">
              <w:rPr>
                <w:rFonts w:asciiTheme="minorHAnsi" w:eastAsia="Times New Roman" w:hAnsiTheme="minorHAnsi" w:cs="Gill Sans"/>
                <w:color w:val="000000" w:themeColor="text1"/>
                <w:shd w:val="clear" w:color="auto" w:fill="FFFFFF"/>
              </w:rPr>
              <w:t>Pollman</w:t>
            </w:r>
            <w:proofErr w:type="spellEnd"/>
            <w:r w:rsidRPr="00747094">
              <w:rPr>
                <w:rFonts w:asciiTheme="minorHAnsi" w:eastAsia="Times New Roman" w:hAnsiTheme="minorHAnsi" w:cs="Gill Sans"/>
                <w:color w:val="000000" w:themeColor="text1"/>
                <w:shd w:val="clear" w:color="auto" w:fill="FFFFFF"/>
              </w:rPr>
              <w:t xml:space="preserve"> &amp; Jordan M. Barry, </w:t>
            </w:r>
            <w:r w:rsidRPr="00747094">
              <w:rPr>
                <w:rFonts w:asciiTheme="minorHAnsi" w:eastAsia="Times New Roman" w:hAnsiTheme="minorHAnsi" w:cs="Gill Sans"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Regulatory Entrepreneurship</w:t>
            </w:r>
            <w:r w:rsidRPr="00747094">
              <w:rPr>
                <w:rFonts w:asciiTheme="minorHAnsi" w:eastAsia="Times New Roman" w:hAnsiTheme="minorHAnsi" w:cs="Gill Sans"/>
                <w:color w:val="000000" w:themeColor="text1"/>
                <w:shd w:val="clear" w:color="auto" w:fill="FFFFFF"/>
              </w:rPr>
              <w:t>, 90 </w:t>
            </w:r>
            <w:r w:rsidRPr="00747094">
              <w:rPr>
                <w:rFonts w:asciiTheme="minorHAnsi" w:eastAsia="Times New Roman" w:hAnsiTheme="minorHAnsi" w:cs="Gill Sans"/>
                <w:bCs/>
                <w:smallCaps/>
                <w:color w:val="000000" w:themeColor="text1"/>
                <w:bdr w:val="none" w:sz="0" w:space="0" w:color="auto" w:frame="1"/>
                <w:shd w:val="clear" w:color="auto" w:fill="FFFFFF"/>
              </w:rPr>
              <w:t>S. Cal. L. Rev. </w:t>
            </w:r>
            <w:r w:rsidRPr="00747094">
              <w:rPr>
                <w:rFonts w:asciiTheme="minorHAnsi" w:eastAsia="Times New Roman" w:hAnsiTheme="minorHAnsi" w:cs="Gill Sans"/>
                <w:color w:val="000000" w:themeColor="text1"/>
                <w:shd w:val="clear" w:color="auto" w:fill="FFFFFF"/>
              </w:rPr>
              <w:t>383 (2017)</w:t>
            </w:r>
          </w:p>
          <w:p w14:paraId="3C9BC3F7" w14:textId="77777777" w:rsidR="00C40580" w:rsidRPr="00931730" w:rsidRDefault="00C40580" w:rsidP="007363F7">
            <w:pPr>
              <w:keepLines/>
              <w:widowControl w:val="0"/>
              <w:rPr>
                <w:rFonts w:ascii="Garamond" w:hAnsi="Garamond"/>
                <w:i/>
                <w:color w:val="000000" w:themeColor="text1"/>
              </w:rPr>
            </w:pPr>
          </w:p>
          <w:p w14:paraId="3C1AAF08" w14:textId="310D0578" w:rsidR="001350E1" w:rsidRPr="00747094" w:rsidRDefault="001350E1" w:rsidP="001350E1">
            <w:pPr>
              <w:rPr>
                <w:rFonts w:asciiTheme="minorHAnsi" w:eastAsia="Times New Roman" w:hAnsiTheme="minorHAnsi"/>
                <w:color w:val="000000" w:themeColor="text1"/>
              </w:rPr>
            </w:pPr>
            <w:r w:rsidRPr="00747094">
              <w:rPr>
                <w:rFonts w:asciiTheme="minorHAnsi" w:eastAsia="Times New Roman" w:hAnsiTheme="minorHAnsi" w:cs="Gill Sans"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The Impact of Business Courts (Outside of Delaware)</w:t>
            </w:r>
            <w:r w:rsidRPr="00747094">
              <w:rPr>
                <w:rFonts w:asciiTheme="minorHAnsi" w:eastAsia="Times New Roman" w:hAnsiTheme="minorHAnsi" w:cs="Gill Sans"/>
                <w:color w:val="000000" w:themeColor="text1"/>
                <w:shd w:val="clear" w:color="auto" w:fill="FFFFFF"/>
              </w:rPr>
              <w:t xml:space="preserve">, JOTWELL (February 22, 2017) (reviewing Jens </w:t>
            </w:r>
            <w:proofErr w:type="spellStart"/>
            <w:r w:rsidRPr="00747094">
              <w:rPr>
                <w:rFonts w:asciiTheme="minorHAnsi" w:eastAsia="Times New Roman" w:hAnsiTheme="minorHAnsi" w:cs="Gill Sans"/>
                <w:color w:val="000000" w:themeColor="text1"/>
                <w:shd w:val="clear" w:color="auto" w:fill="FFFFFF"/>
              </w:rPr>
              <w:t>Dammann</w:t>
            </w:r>
            <w:proofErr w:type="spellEnd"/>
            <w:r w:rsidRPr="00747094">
              <w:rPr>
                <w:rFonts w:asciiTheme="minorHAnsi" w:eastAsia="Times New Roman" w:hAnsiTheme="minorHAnsi" w:cs="Gill Sans"/>
                <w:color w:val="000000" w:themeColor="text1"/>
                <w:shd w:val="clear" w:color="auto" w:fill="FFFFFF"/>
              </w:rPr>
              <w:t>, </w:t>
            </w:r>
            <w:r w:rsidRPr="00747094">
              <w:rPr>
                <w:rFonts w:asciiTheme="minorHAnsi" w:eastAsia="Times New Roman" w:hAnsiTheme="minorHAnsi" w:cs="Gill Sans"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Business Courts and Firm Performance</w:t>
            </w:r>
            <w:r w:rsidRPr="00747094">
              <w:rPr>
                <w:rFonts w:asciiTheme="minorHAnsi" w:eastAsia="Times New Roman" w:hAnsiTheme="minorHAnsi" w:cs="Gill Sans"/>
                <w:color w:val="000000" w:themeColor="text1"/>
                <w:shd w:val="clear" w:color="auto" w:fill="FFFFFF"/>
              </w:rPr>
              <w:t> (U. Tex. Research Paper No. 564, 2017)</w:t>
            </w:r>
          </w:p>
          <w:p w14:paraId="1F53C748" w14:textId="77777777" w:rsidR="008E0EBF" w:rsidRPr="00931730" w:rsidRDefault="008E0EBF" w:rsidP="007363F7">
            <w:pPr>
              <w:keepLines/>
              <w:widowControl w:val="0"/>
              <w:rPr>
                <w:rFonts w:ascii="Garamond" w:hAnsi="Garamond"/>
                <w:i/>
                <w:color w:val="000000" w:themeColor="text1"/>
                <w:szCs w:val="20"/>
              </w:rPr>
            </w:pPr>
          </w:p>
          <w:p w14:paraId="6C10DCEF" w14:textId="77777777" w:rsidR="008E0EBF" w:rsidRPr="00931730" w:rsidRDefault="008E0EBF" w:rsidP="007363F7">
            <w:pPr>
              <w:keepLines/>
              <w:widowControl w:val="0"/>
              <w:rPr>
                <w:color w:val="000000" w:themeColor="text1"/>
              </w:rPr>
            </w:pPr>
            <w:r w:rsidRPr="00931730">
              <w:rPr>
                <w:rFonts w:ascii="Garamond" w:hAnsi="Garamond"/>
                <w:i/>
                <w:color w:val="000000" w:themeColor="text1"/>
              </w:rPr>
              <w:t>For Stronger K-16 Bridge, Reform College Counseling</w:t>
            </w:r>
            <w:r w:rsidRPr="00931730">
              <w:rPr>
                <w:rFonts w:ascii="Garamond" w:hAnsi="Garamond"/>
                <w:color w:val="000000" w:themeColor="text1"/>
              </w:rPr>
              <w:t xml:space="preserve">, </w:t>
            </w:r>
            <w:r w:rsidRPr="00931730">
              <w:rPr>
                <w:rFonts w:ascii="Garamond" w:hAnsi="Garamond"/>
                <w:smallCaps/>
                <w:color w:val="000000" w:themeColor="text1"/>
              </w:rPr>
              <w:t>Education Week</w:t>
            </w:r>
            <w:r w:rsidRPr="00931730">
              <w:rPr>
                <w:rFonts w:ascii="Garamond" w:hAnsi="Garamond"/>
                <w:color w:val="000000" w:themeColor="text1"/>
              </w:rPr>
              <w:t>, June 9, 2011, at 22</w:t>
            </w:r>
            <w:r w:rsidRPr="00931730">
              <w:rPr>
                <w:rFonts w:ascii="Garamond" w:hAnsi="Garamond"/>
                <w:i/>
                <w:color w:val="000000" w:themeColor="text1"/>
              </w:rPr>
              <w:t xml:space="preserve"> </w:t>
            </w:r>
            <w:r w:rsidRPr="00931730">
              <w:rPr>
                <w:rFonts w:ascii="Garamond" w:hAnsi="Garamond"/>
                <w:color w:val="000000" w:themeColor="text1"/>
              </w:rPr>
              <w:t>(invited commentary)</w:t>
            </w:r>
          </w:p>
          <w:p w14:paraId="5DF8BD79" w14:textId="77777777" w:rsidR="008E0EBF" w:rsidRPr="00931730" w:rsidRDefault="008E0EBF" w:rsidP="007363F7">
            <w:pPr>
              <w:keepLines/>
              <w:widowControl w:val="0"/>
              <w:rPr>
                <w:rFonts w:ascii="Garamond" w:hAnsi="Garamond"/>
                <w:i/>
                <w:color w:val="000000" w:themeColor="text1"/>
                <w:szCs w:val="20"/>
              </w:rPr>
            </w:pPr>
          </w:p>
          <w:p w14:paraId="2A89C684" w14:textId="77777777" w:rsidR="008E0EBF" w:rsidRPr="00931730" w:rsidRDefault="008E0EBF" w:rsidP="007363F7">
            <w:pPr>
              <w:keepLines/>
              <w:widowControl w:val="0"/>
              <w:rPr>
                <w:rFonts w:ascii="Garamond" w:hAnsi="Garamond"/>
                <w:color w:val="000000" w:themeColor="text1"/>
              </w:rPr>
            </w:pPr>
            <w:r w:rsidRPr="00931730">
              <w:rPr>
                <w:rFonts w:ascii="Garamond" w:hAnsi="Garamond"/>
                <w:i/>
                <w:color w:val="000000" w:themeColor="text1"/>
              </w:rPr>
              <w:t>Re-examining In-House Counsel Liability,</w:t>
            </w:r>
            <w:r w:rsidRPr="00931730">
              <w:rPr>
                <w:rFonts w:ascii="Garamond" w:hAnsi="Garamond"/>
                <w:color w:val="000000" w:themeColor="text1"/>
              </w:rPr>
              <w:t xml:space="preserve"> CLE materials prepared for </w:t>
            </w:r>
            <w:proofErr w:type="spellStart"/>
            <w:r w:rsidRPr="00931730">
              <w:rPr>
                <w:rFonts w:ascii="Garamond" w:hAnsi="Garamond"/>
                <w:color w:val="000000" w:themeColor="text1"/>
              </w:rPr>
              <w:t>Ass’n</w:t>
            </w:r>
            <w:proofErr w:type="spellEnd"/>
            <w:r w:rsidRPr="00931730">
              <w:rPr>
                <w:rFonts w:ascii="Garamond" w:hAnsi="Garamond"/>
                <w:color w:val="000000" w:themeColor="text1"/>
              </w:rPr>
              <w:t xml:space="preserve"> of Corporate Counsel for Eastern North Carolina and North Carolina Bar </w:t>
            </w:r>
            <w:proofErr w:type="spellStart"/>
            <w:r w:rsidRPr="00931730">
              <w:rPr>
                <w:rFonts w:ascii="Garamond" w:hAnsi="Garamond"/>
                <w:color w:val="000000" w:themeColor="text1"/>
              </w:rPr>
              <w:t>Ass’n</w:t>
            </w:r>
            <w:proofErr w:type="spellEnd"/>
            <w:r w:rsidRPr="00931730">
              <w:rPr>
                <w:rFonts w:ascii="Garamond" w:hAnsi="Garamond"/>
                <w:color w:val="000000" w:themeColor="text1"/>
              </w:rPr>
              <w:t xml:space="preserve">, April 26, 2011 </w:t>
            </w:r>
          </w:p>
          <w:p w14:paraId="02917D97" w14:textId="77777777" w:rsidR="008E0EBF" w:rsidRPr="00931730" w:rsidRDefault="008E0EBF" w:rsidP="007363F7">
            <w:pPr>
              <w:keepLines/>
              <w:widowControl w:val="0"/>
              <w:rPr>
                <w:rFonts w:ascii="Garamond" w:hAnsi="Garamond"/>
                <w:i/>
                <w:color w:val="000000" w:themeColor="text1"/>
                <w:szCs w:val="20"/>
              </w:rPr>
            </w:pPr>
          </w:p>
          <w:p w14:paraId="228BAFD9" w14:textId="77777777" w:rsidR="008E0EBF" w:rsidRPr="00931730" w:rsidRDefault="008E0EBF" w:rsidP="007363F7">
            <w:pPr>
              <w:keepLines/>
              <w:widowControl w:val="0"/>
              <w:rPr>
                <w:rFonts w:ascii="Garamond" w:hAnsi="Garamond"/>
                <w:color w:val="000000" w:themeColor="text1"/>
              </w:rPr>
            </w:pPr>
            <w:r w:rsidRPr="00931730">
              <w:rPr>
                <w:rFonts w:ascii="Garamond" w:hAnsi="Garamond"/>
                <w:i/>
                <w:color w:val="000000" w:themeColor="text1"/>
              </w:rPr>
              <w:t xml:space="preserve">Administration’s Higher Education Goals Unattainable without K-16 Bridge, </w:t>
            </w:r>
            <w:r w:rsidRPr="00931730">
              <w:rPr>
                <w:rFonts w:ascii="Garamond" w:hAnsi="Garamond"/>
                <w:smallCaps/>
                <w:color w:val="000000" w:themeColor="text1"/>
              </w:rPr>
              <w:t>The Huffington Post</w:t>
            </w:r>
            <w:r w:rsidRPr="00931730">
              <w:rPr>
                <w:rFonts w:ascii="Garamond" w:hAnsi="Garamond"/>
                <w:color w:val="000000" w:themeColor="text1"/>
              </w:rPr>
              <w:t>, February 25, 2011 (Op-Ed</w:t>
            </w:r>
            <w:r w:rsidRPr="00931730">
              <w:rPr>
                <w:rFonts w:ascii="Garamond" w:hAnsi="Garamond"/>
                <w:i/>
                <w:color w:val="000000" w:themeColor="text1"/>
              </w:rPr>
              <w:t xml:space="preserve">) </w:t>
            </w:r>
          </w:p>
          <w:p w14:paraId="63E5CED4" w14:textId="77777777" w:rsidR="008E0EBF" w:rsidRPr="00931730" w:rsidRDefault="008E0EBF" w:rsidP="007363F7">
            <w:pPr>
              <w:keepLines/>
              <w:widowControl w:val="0"/>
              <w:rPr>
                <w:rFonts w:ascii="Garamond" w:hAnsi="Garamond"/>
                <w:i/>
                <w:color w:val="000000" w:themeColor="text1"/>
                <w:szCs w:val="20"/>
              </w:rPr>
            </w:pPr>
          </w:p>
          <w:p w14:paraId="023C984D" w14:textId="77777777" w:rsidR="008E0EBF" w:rsidRPr="00931730" w:rsidRDefault="008E0EBF" w:rsidP="007363F7">
            <w:pPr>
              <w:keepLines/>
              <w:widowControl w:val="0"/>
              <w:rPr>
                <w:rFonts w:ascii="Garamond" w:hAnsi="Garamond"/>
                <w:i/>
                <w:color w:val="000000" w:themeColor="text1"/>
              </w:rPr>
            </w:pPr>
            <w:r w:rsidRPr="00931730">
              <w:rPr>
                <w:rFonts w:ascii="Garamond" w:hAnsi="Garamond"/>
                <w:i/>
                <w:color w:val="000000" w:themeColor="text1"/>
              </w:rPr>
              <w:t>Biggest Triumphs, Biggest Mistakes</w:t>
            </w:r>
            <w:r w:rsidRPr="00931730">
              <w:rPr>
                <w:rFonts w:ascii="Garamond" w:hAnsi="Garamond"/>
                <w:color w:val="000000" w:themeColor="text1"/>
              </w:rPr>
              <w:t>, outline materials prepared for 2010 Association of American Law Schools (AALS) Workshop for New Law Teachers, Washington, DC, June 17-19, 2010</w:t>
            </w:r>
          </w:p>
          <w:p w14:paraId="69AB6A0F" w14:textId="77777777" w:rsidR="008E0EBF" w:rsidRPr="00931730" w:rsidRDefault="008E0EBF" w:rsidP="007363F7">
            <w:pPr>
              <w:keepLines/>
              <w:widowControl w:val="0"/>
              <w:rPr>
                <w:rFonts w:ascii="Garamond" w:hAnsi="Garamond"/>
                <w:i/>
                <w:color w:val="000000" w:themeColor="text1"/>
                <w:szCs w:val="20"/>
              </w:rPr>
            </w:pPr>
          </w:p>
          <w:p w14:paraId="4E35E617" w14:textId="7010A21B" w:rsidR="008E0EBF" w:rsidRPr="00931730" w:rsidRDefault="008E0EBF" w:rsidP="007363F7">
            <w:pPr>
              <w:keepLines/>
              <w:widowControl w:val="0"/>
              <w:jc w:val="both"/>
              <w:rPr>
                <w:rFonts w:ascii="Garamond" w:hAnsi="Garamond"/>
                <w:i/>
                <w:color w:val="000000" w:themeColor="text1"/>
              </w:rPr>
            </w:pPr>
            <w:r w:rsidRPr="00931730">
              <w:rPr>
                <w:rFonts w:ascii="Garamond" w:hAnsi="Garamond"/>
                <w:i/>
                <w:color w:val="000000" w:themeColor="text1"/>
              </w:rPr>
              <w:t>Rhetoric won’t likely lead to reform</w:t>
            </w:r>
            <w:r w:rsidRPr="00931730">
              <w:rPr>
                <w:rFonts w:ascii="Garamond" w:hAnsi="Garamond"/>
                <w:color w:val="000000" w:themeColor="text1"/>
              </w:rPr>
              <w:t xml:space="preserve">, </w:t>
            </w:r>
            <w:r w:rsidRPr="00931730">
              <w:rPr>
                <w:rFonts w:ascii="Garamond" w:hAnsi="Garamond"/>
                <w:smallCaps/>
                <w:color w:val="000000" w:themeColor="text1"/>
              </w:rPr>
              <w:t>Winston-Salem Journal</w:t>
            </w:r>
            <w:r w:rsidRPr="00931730">
              <w:rPr>
                <w:rFonts w:ascii="Garamond" w:hAnsi="Garamond"/>
                <w:color w:val="000000" w:themeColor="text1"/>
              </w:rPr>
              <w:t>, March 7, 2009, at A11 (Op-Ed)</w:t>
            </w:r>
          </w:p>
        </w:tc>
      </w:tr>
      <w:tr w:rsidR="008E0EBF" w14:paraId="0DFB32B0" w14:textId="77777777" w:rsidTr="003F4F30">
        <w:tc>
          <w:tcPr>
            <w:tcW w:w="1892" w:type="dxa"/>
          </w:tcPr>
          <w:p w14:paraId="5361EE28" w14:textId="77777777" w:rsidR="008E0EBF" w:rsidRPr="004447DE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</w:p>
        </w:tc>
        <w:tc>
          <w:tcPr>
            <w:tcW w:w="355" w:type="dxa"/>
          </w:tcPr>
          <w:p w14:paraId="6EFA593B" w14:textId="77777777" w:rsidR="008E0EBF" w:rsidRDefault="008E0EBF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153E316F" w14:textId="77777777" w:rsidR="008E0EBF" w:rsidRDefault="008E0EBF" w:rsidP="007363F7">
            <w:pPr>
              <w:keepLines/>
              <w:widowControl w:val="0"/>
              <w:ind w:right="720"/>
              <w:rPr>
                <w:rFonts w:ascii="Garamond" w:hAnsi="Garamond"/>
                <w:i/>
              </w:rPr>
            </w:pPr>
          </w:p>
        </w:tc>
      </w:tr>
      <w:tr w:rsidR="008E0EBF" w14:paraId="28D452B9" w14:textId="77777777" w:rsidTr="003F4F30">
        <w:tc>
          <w:tcPr>
            <w:tcW w:w="1892" w:type="dxa"/>
          </w:tcPr>
          <w:p w14:paraId="0AB16D2A" w14:textId="7C686C99" w:rsidR="008E0EBF" w:rsidRPr="004447DE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>
              <w:rPr>
                <w:smallCaps/>
                <w:color w:val="auto"/>
                <w:sz w:val="24"/>
              </w:rPr>
              <w:t>Works-In-Progress</w:t>
            </w:r>
          </w:p>
        </w:tc>
        <w:tc>
          <w:tcPr>
            <w:tcW w:w="355" w:type="dxa"/>
          </w:tcPr>
          <w:p w14:paraId="53B5A1D9" w14:textId="77777777" w:rsidR="008E0EBF" w:rsidRDefault="008E0EBF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7AC0B0AA" w14:textId="29A1C64A" w:rsidR="008E0EBF" w:rsidRPr="00747094" w:rsidRDefault="008E0EBF" w:rsidP="007363F7">
            <w:pPr>
              <w:keepLines/>
              <w:widowControl w:val="0"/>
              <w:rPr>
                <w:rFonts w:asciiTheme="minorHAnsi" w:hAnsiTheme="minorHAnsi"/>
                <w:i/>
              </w:rPr>
            </w:pPr>
            <w:r w:rsidRPr="00747094">
              <w:rPr>
                <w:rFonts w:asciiTheme="minorHAnsi" w:hAnsiTheme="minorHAnsi"/>
                <w:i/>
              </w:rPr>
              <w:t>Forgotten Gatekeepers: Executive Search Firms and Corporate Governance</w:t>
            </w:r>
          </w:p>
          <w:p w14:paraId="7A0EE782" w14:textId="7C10878B" w:rsidR="008E0EBF" w:rsidRDefault="002A2CDF" w:rsidP="007363F7">
            <w:pPr>
              <w:keepLines/>
              <w:widowControl w:val="0"/>
              <w:ind w:right="720"/>
              <w:rPr>
                <w:rFonts w:ascii="Garamond" w:hAnsi="Garamond"/>
                <w:i/>
              </w:rPr>
            </w:pPr>
            <w:r>
              <w:rPr>
                <w:rFonts w:asciiTheme="minorHAnsi" w:hAnsiTheme="minorHAnsi"/>
                <w:i/>
              </w:rPr>
              <w:t>Urban Removal</w:t>
            </w:r>
            <w:r w:rsidR="00C03C31" w:rsidRPr="00747094">
              <w:rPr>
                <w:rFonts w:asciiTheme="minorHAnsi" w:hAnsiTheme="minorHAnsi"/>
                <w:i/>
              </w:rPr>
              <w:t>: Reshap</w:t>
            </w:r>
            <w:r w:rsidR="003A34C2">
              <w:rPr>
                <w:rFonts w:asciiTheme="minorHAnsi" w:hAnsiTheme="minorHAnsi"/>
                <w:i/>
              </w:rPr>
              <w:t>ing Tampa’s Urban Landscape 1952</w:t>
            </w:r>
            <w:r w:rsidR="00C03C31" w:rsidRPr="00747094">
              <w:rPr>
                <w:rFonts w:asciiTheme="minorHAnsi" w:hAnsiTheme="minorHAnsi"/>
                <w:i/>
              </w:rPr>
              <w:t>-1965</w:t>
            </w:r>
          </w:p>
        </w:tc>
      </w:tr>
      <w:tr w:rsidR="008E0EBF" w14:paraId="447CC496" w14:textId="77777777" w:rsidTr="003F4F30">
        <w:tc>
          <w:tcPr>
            <w:tcW w:w="1892" w:type="dxa"/>
          </w:tcPr>
          <w:p w14:paraId="5BC0DD48" w14:textId="77777777" w:rsidR="008E0EBF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</w:p>
        </w:tc>
        <w:tc>
          <w:tcPr>
            <w:tcW w:w="355" w:type="dxa"/>
          </w:tcPr>
          <w:p w14:paraId="10F606B3" w14:textId="77777777" w:rsidR="008E0EBF" w:rsidRDefault="008E0EBF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496BB7F3" w14:textId="77777777" w:rsidR="008E0EBF" w:rsidRDefault="008E0EBF" w:rsidP="007363F7">
            <w:pPr>
              <w:keepLines/>
              <w:widowControl w:val="0"/>
              <w:rPr>
                <w:i/>
              </w:rPr>
            </w:pPr>
          </w:p>
        </w:tc>
      </w:tr>
      <w:tr w:rsidR="008E0EBF" w14:paraId="36624272" w14:textId="77777777" w:rsidTr="003F4F30">
        <w:tc>
          <w:tcPr>
            <w:tcW w:w="1892" w:type="dxa"/>
          </w:tcPr>
          <w:p w14:paraId="61AEDD97" w14:textId="0E8F88C7" w:rsidR="008E0EBF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 w:rsidRPr="004447DE">
              <w:rPr>
                <w:smallCaps/>
                <w:color w:val="auto"/>
                <w:sz w:val="24"/>
              </w:rPr>
              <w:t>Courses Taught</w:t>
            </w:r>
          </w:p>
        </w:tc>
        <w:tc>
          <w:tcPr>
            <w:tcW w:w="355" w:type="dxa"/>
          </w:tcPr>
          <w:p w14:paraId="0C77CC2B" w14:textId="77777777" w:rsidR="008E0EBF" w:rsidRDefault="008E0EBF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50AA2D1F" w14:textId="77777777" w:rsidR="008E0EBF" w:rsidRPr="004447DE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>Contracts I</w:t>
            </w:r>
          </w:p>
          <w:p w14:paraId="2B91DD6C" w14:textId="77777777" w:rsidR="008E0EBF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 xml:space="preserve">Contracts II </w:t>
            </w:r>
            <w:bookmarkStart w:id="0" w:name="_GoBack"/>
            <w:bookmarkEnd w:id="0"/>
          </w:p>
          <w:p w14:paraId="15E845F0" w14:textId="77777777" w:rsidR="008E0EBF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Article 2: </w:t>
            </w:r>
            <w:r w:rsidRPr="004447DE">
              <w:rPr>
                <w:rFonts w:ascii="Garamond" w:hAnsi="Garamond"/>
              </w:rPr>
              <w:t>Sales</w:t>
            </w:r>
          </w:p>
          <w:p w14:paraId="0ACFC987" w14:textId="77777777" w:rsidR="008E0EBF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Business Associations</w:t>
            </w:r>
          </w:p>
          <w:p w14:paraId="60730281" w14:textId="77777777" w:rsidR="008E0EBF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Advanced Corporations: </w:t>
            </w:r>
            <w:r w:rsidRPr="004447DE">
              <w:rPr>
                <w:rFonts w:ascii="Garamond" w:hAnsi="Garamond"/>
              </w:rPr>
              <w:t xml:space="preserve">Corporate Governance, Law, Theory &amp; Policy (Seminar) </w:t>
            </w:r>
          </w:p>
          <w:p w14:paraId="3733ED20" w14:textId="77777777" w:rsidR="008E0EBF" w:rsidRPr="004447DE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Practical Introduction to the In-House Counsel Role (Co-Taught)</w:t>
            </w:r>
          </w:p>
          <w:p w14:paraId="5E1CAB6E" w14:textId="77777777" w:rsidR="008E0EBF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>Higher Education and the Law (Seminar)</w:t>
            </w:r>
          </w:p>
          <w:p w14:paraId="0CE98DC1" w14:textId="77777777" w:rsidR="008E0EBF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Comparative Corporate Law (London Summer Program)</w:t>
            </w:r>
          </w:p>
          <w:p w14:paraId="6AE0351B" w14:textId="76EFE313" w:rsidR="008E0EBF" w:rsidRDefault="008E0EBF" w:rsidP="007363F7">
            <w:pPr>
              <w:keepLines/>
              <w:widowControl w:val="0"/>
              <w:rPr>
                <w:i/>
              </w:rPr>
            </w:pPr>
            <w:r>
              <w:rPr>
                <w:rFonts w:ascii="Garamond" w:hAnsi="Garamond"/>
              </w:rPr>
              <w:t>History of the Common Law (London Summer Program)</w:t>
            </w:r>
          </w:p>
        </w:tc>
      </w:tr>
      <w:tr w:rsidR="008E0EBF" w14:paraId="1A804CFE" w14:textId="77777777" w:rsidTr="003F4F30">
        <w:tc>
          <w:tcPr>
            <w:tcW w:w="1892" w:type="dxa"/>
          </w:tcPr>
          <w:p w14:paraId="3D2E5E49" w14:textId="77777777" w:rsidR="008E0EBF" w:rsidRPr="004447DE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</w:p>
        </w:tc>
        <w:tc>
          <w:tcPr>
            <w:tcW w:w="355" w:type="dxa"/>
          </w:tcPr>
          <w:p w14:paraId="36E3FE25" w14:textId="77777777" w:rsidR="008E0EBF" w:rsidRDefault="008E0EBF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6399B34C" w14:textId="77777777" w:rsidR="008E0EBF" w:rsidRPr="004447DE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</w:p>
        </w:tc>
      </w:tr>
      <w:tr w:rsidR="008E0EBF" w14:paraId="2D104913" w14:textId="77777777" w:rsidTr="003F4F30">
        <w:tc>
          <w:tcPr>
            <w:tcW w:w="1892" w:type="dxa"/>
          </w:tcPr>
          <w:p w14:paraId="62165DA6" w14:textId="152A1DA4" w:rsidR="008E0EBF" w:rsidRPr="004447DE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 w:rsidRPr="004447DE">
              <w:rPr>
                <w:smallCaps/>
                <w:color w:val="auto"/>
                <w:sz w:val="24"/>
              </w:rPr>
              <w:t>Law School Service</w:t>
            </w:r>
          </w:p>
        </w:tc>
        <w:tc>
          <w:tcPr>
            <w:tcW w:w="355" w:type="dxa"/>
          </w:tcPr>
          <w:p w14:paraId="0F1392CF" w14:textId="77777777" w:rsidR="008E0EBF" w:rsidRDefault="008E0EBF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112B97E0" w14:textId="77777777" w:rsidR="008E0EBF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Chair, </w:t>
            </w:r>
            <w:r w:rsidRPr="004447DE">
              <w:rPr>
                <w:rFonts w:ascii="Garamond" w:hAnsi="Garamond"/>
              </w:rPr>
              <w:t>Facu</w:t>
            </w:r>
            <w:r>
              <w:rPr>
                <w:rFonts w:ascii="Garamond" w:hAnsi="Garamond"/>
              </w:rPr>
              <w:t>lty Appointments Committee (2017-present)</w:t>
            </w:r>
          </w:p>
          <w:p w14:paraId="506E1715" w14:textId="77777777" w:rsidR="008E0EBF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Chair, </w:t>
            </w:r>
            <w:r w:rsidRPr="004447DE">
              <w:rPr>
                <w:rFonts w:ascii="Garamond" w:hAnsi="Garamond"/>
              </w:rPr>
              <w:t>Cu</w:t>
            </w:r>
            <w:r>
              <w:rPr>
                <w:rFonts w:ascii="Garamond" w:hAnsi="Garamond"/>
              </w:rPr>
              <w:t>rriculum Committee (2015-2017)</w:t>
            </w:r>
          </w:p>
          <w:p w14:paraId="2A786F00" w14:textId="63C4438A" w:rsidR="008E0EBF" w:rsidRDefault="00263674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Budget Committee (2016-2018</w:t>
            </w:r>
            <w:r w:rsidR="008E0EBF">
              <w:rPr>
                <w:rFonts w:ascii="Garamond" w:hAnsi="Garamond"/>
              </w:rPr>
              <w:t>)</w:t>
            </w:r>
          </w:p>
          <w:p w14:paraId="69471BD4" w14:textId="77777777" w:rsidR="008E0EBF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Academic Rules Committee (2015-2017)</w:t>
            </w:r>
          </w:p>
          <w:p w14:paraId="68038322" w14:textId="77777777" w:rsidR="008E0EBF" w:rsidRPr="004447DE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>Dean’s Advisory Board (2012-</w:t>
            </w:r>
            <w:r>
              <w:rPr>
                <w:rFonts w:ascii="Garamond" w:hAnsi="Garamond"/>
              </w:rPr>
              <w:t>2013</w:t>
            </w:r>
            <w:r w:rsidRPr="004447DE">
              <w:rPr>
                <w:rFonts w:ascii="Garamond" w:hAnsi="Garamond"/>
              </w:rPr>
              <w:t>)</w:t>
            </w:r>
          </w:p>
          <w:p w14:paraId="69CA9780" w14:textId="77777777" w:rsidR="008E0EBF" w:rsidRPr="004447DE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 xml:space="preserve">Information Services Committee (2010-2011) </w:t>
            </w:r>
          </w:p>
          <w:p w14:paraId="1C22F5C6" w14:textId="77777777" w:rsidR="008E0EBF" w:rsidRPr="004447DE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>Judicial Clerkship Committee (2009-2010)</w:t>
            </w:r>
          </w:p>
          <w:p w14:paraId="043B7278" w14:textId="77777777" w:rsidR="008E0EBF" w:rsidRPr="004447DE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lastRenderedPageBreak/>
              <w:t>Young Alumni Forum Advisory Committee (2008-2009)</w:t>
            </w:r>
          </w:p>
          <w:p w14:paraId="7CF3B915" w14:textId="77A30848" w:rsidR="008E0EBF" w:rsidRPr="004447DE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>Career Services Advisory Committee (2007-2008)</w:t>
            </w:r>
          </w:p>
        </w:tc>
      </w:tr>
      <w:tr w:rsidR="008E0EBF" w14:paraId="4D2300EB" w14:textId="77777777" w:rsidTr="003F4F30">
        <w:tc>
          <w:tcPr>
            <w:tcW w:w="1892" w:type="dxa"/>
          </w:tcPr>
          <w:p w14:paraId="56A26585" w14:textId="77777777" w:rsidR="008E0EBF" w:rsidRPr="004447DE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</w:p>
        </w:tc>
        <w:tc>
          <w:tcPr>
            <w:tcW w:w="355" w:type="dxa"/>
          </w:tcPr>
          <w:p w14:paraId="2F1D7808" w14:textId="77777777" w:rsidR="008E0EBF" w:rsidRDefault="008E0EBF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1892A725" w14:textId="77777777" w:rsidR="008E0EBF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</w:p>
        </w:tc>
      </w:tr>
      <w:tr w:rsidR="008E0EBF" w14:paraId="10494214" w14:textId="77777777" w:rsidTr="003F4F30">
        <w:tc>
          <w:tcPr>
            <w:tcW w:w="1892" w:type="dxa"/>
          </w:tcPr>
          <w:p w14:paraId="53B51AD6" w14:textId="43436C6D" w:rsidR="008E0EBF" w:rsidRPr="004447DE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 w:rsidRPr="004447DE">
              <w:rPr>
                <w:smallCaps/>
                <w:color w:val="auto"/>
                <w:sz w:val="24"/>
              </w:rPr>
              <w:t>University Service</w:t>
            </w:r>
          </w:p>
        </w:tc>
        <w:tc>
          <w:tcPr>
            <w:tcW w:w="355" w:type="dxa"/>
          </w:tcPr>
          <w:p w14:paraId="65D353D7" w14:textId="77777777" w:rsidR="008E0EBF" w:rsidRDefault="008E0EBF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4FF3051C" w14:textId="7B2EC66F" w:rsidR="00373B5B" w:rsidRDefault="002B4677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Retirement Planning Committee (2018-present)</w:t>
            </w:r>
          </w:p>
          <w:p w14:paraId="01F515FF" w14:textId="6544A93D" w:rsidR="008E0EBF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Financial </w:t>
            </w:r>
            <w:r w:rsidR="007A5E18">
              <w:rPr>
                <w:rFonts w:ascii="Garamond" w:hAnsi="Garamond"/>
              </w:rPr>
              <w:t>Advisory Committee (2015-2016</w:t>
            </w:r>
            <w:r>
              <w:rPr>
                <w:rFonts w:ascii="Garamond" w:hAnsi="Garamond"/>
              </w:rPr>
              <w:t>)</w:t>
            </w:r>
          </w:p>
          <w:p w14:paraId="32598E09" w14:textId="77777777" w:rsidR="008E0EBF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Faculty Senate Athletics Committee (2015-2016)</w:t>
            </w:r>
          </w:p>
          <w:p w14:paraId="30AAC42B" w14:textId="77777777" w:rsidR="008E0EBF" w:rsidRPr="004447DE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>Faculty Senate</w:t>
            </w:r>
            <w:r>
              <w:rPr>
                <w:rFonts w:ascii="Garamond" w:hAnsi="Garamond"/>
              </w:rPr>
              <w:t xml:space="preserve"> Representative (2012-2016</w:t>
            </w:r>
            <w:r w:rsidRPr="004447DE">
              <w:rPr>
                <w:rFonts w:ascii="Garamond" w:hAnsi="Garamond"/>
              </w:rPr>
              <w:t>)</w:t>
            </w:r>
          </w:p>
          <w:p w14:paraId="22346862" w14:textId="77777777" w:rsidR="008E0EBF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 xml:space="preserve">Wake Forest University Institute for Public </w:t>
            </w:r>
            <w:r>
              <w:rPr>
                <w:rFonts w:ascii="Garamond" w:hAnsi="Garamond"/>
              </w:rPr>
              <w:t xml:space="preserve">Engagement Advisory Board </w:t>
            </w:r>
          </w:p>
          <w:p w14:paraId="4F954B5F" w14:textId="77777777" w:rsidR="008E0EBF" w:rsidRPr="004447DE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(2010-2015</w:t>
            </w:r>
            <w:r w:rsidRPr="004447DE">
              <w:rPr>
                <w:rFonts w:ascii="Garamond" w:hAnsi="Garamond"/>
              </w:rPr>
              <w:t>)</w:t>
            </w:r>
          </w:p>
          <w:p w14:paraId="2D795833" w14:textId="288152EC" w:rsidR="008E0EBF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>Wake Forest University Institute for Public Engagement Director Search Committee</w:t>
            </w:r>
            <w:r w:rsidR="006F6D4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(</w:t>
            </w:r>
            <w:r w:rsidRPr="004447DE">
              <w:rPr>
                <w:rFonts w:ascii="Garamond" w:hAnsi="Garamond"/>
              </w:rPr>
              <w:t>2009-2010)</w:t>
            </w:r>
          </w:p>
          <w:p w14:paraId="77443F9C" w14:textId="23396A74" w:rsidR="008E0EBF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Wake Forest Alumni-in-Admissions Volunteer (2006-present)</w:t>
            </w:r>
          </w:p>
        </w:tc>
      </w:tr>
      <w:tr w:rsidR="008E0EBF" w14:paraId="24B32D15" w14:textId="77777777" w:rsidTr="003F4F30">
        <w:tc>
          <w:tcPr>
            <w:tcW w:w="1892" w:type="dxa"/>
          </w:tcPr>
          <w:p w14:paraId="2DBDBF83" w14:textId="77777777" w:rsidR="008E0EBF" w:rsidRPr="004447DE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</w:p>
        </w:tc>
        <w:tc>
          <w:tcPr>
            <w:tcW w:w="355" w:type="dxa"/>
          </w:tcPr>
          <w:p w14:paraId="6368D7AF" w14:textId="77777777" w:rsidR="008E0EBF" w:rsidRDefault="008E0EBF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48273F46" w14:textId="77777777" w:rsidR="008E0EBF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</w:p>
        </w:tc>
      </w:tr>
      <w:tr w:rsidR="008E0EBF" w14:paraId="40585D9A" w14:textId="77777777" w:rsidTr="003F4F30">
        <w:tc>
          <w:tcPr>
            <w:tcW w:w="1892" w:type="dxa"/>
          </w:tcPr>
          <w:p w14:paraId="07A49317" w14:textId="78863D15" w:rsidR="008E0EBF" w:rsidRPr="004447DE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 w:rsidRPr="004447DE">
              <w:rPr>
                <w:smallCaps/>
                <w:color w:val="auto"/>
                <w:sz w:val="24"/>
              </w:rPr>
              <w:t>Other Academic Service</w:t>
            </w:r>
          </w:p>
        </w:tc>
        <w:tc>
          <w:tcPr>
            <w:tcW w:w="355" w:type="dxa"/>
          </w:tcPr>
          <w:p w14:paraId="4FAB9359" w14:textId="77777777" w:rsidR="008E0EBF" w:rsidRDefault="008E0EBF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3F090382" w14:textId="77777777" w:rsidR="008E0EBF" w:rsidRDefault="008E0EBF" w:rsidP="007363F7">
            <w:pPr>
              <w:keepLines/>
              <w:widowControl w:val="0"/>
              <w:ind w:right="720"/>
              <w:rPr>
                <w:rFonts w:ascii="Garamond" w:hAnsi="Garamond"/>
                <w:smallCaps/>
              </w:rPr>
            </w:pPr>
            <w:proofErr w:type="spellStart"/>
            <w:r>
              <w:rPr>
                <w:rFonts w:ascii="Garamond" w:hAnsi="Garamond"/>
                <w:smallCaps/>
              </w:rPr>
              <w:t>Jotwell</w:t>
            </w:r>
            <w:proofErr w:type="spellEnd"/>
            <w:r>
              <w:rPr>
                <w:rFonts w:ascii="Garamond" w:hAnsi="Garamond"/>
                <w:smallCaps/>
              </w:rPr>
              <w:t xml:space="preserve"> Corporate Law Section (</w:t>
            </w:r>
            <w:r>
              <w:rPr>
                <w:rFonts w:ascii="Garamond" w:hAnsi="Garamond"/>
              </w:rPr>
              <w:t>online journal)</w:t>
            </w:r>
            <w:r>
              <w:rPr>
                <w:rFonts w:ascii="Garamond" w:hAnsi="Garamond"/>
                <w:smallCaps/>
              </w:rPr>
              <w:t xml:space="preserve">, </w:t>
            </w:r>
          </w:p>
          <w:p w14:paraId="57D8591C" w14:textId="26451978" w:rsidR="008E0EBF" w:rsidRPr="004E3A58" w:rsidRDefault="008E0EBF" w:rsidP="007363F7">
            <w:pPr>
              <w:keepLines/>
              <w:widowControl w:val="0"/>
              <w:ind w:right="720" w:firstLine="32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Contributing Editor (2016-present)</w:t>
            </w:r>
          </w:p>
          <w:p w14:paraId="21DF5A92" w14:textId="77777777" w:rsidR="008E0EBF" w:rsidRPr="004447DE" w:rsidRDefault="008E0EBF" w:rsidP="007363F7">
            <w:pPr>
              <w:keepLines/>
              <w:widowControl w:val="0"/>
              <w:ind w:right="720"/>
              <w:rPr>
                <w:rFonts w:ascii="Garamond" w:hAnsi="Garamond"/>
                <w:smallCaps/>
              </w:rPr>
            </w:pPr>
            <w:r w:rsidRPr="004447DE">
              <w:rPr>
                <w:rFonts w:ascii="Garamond" w:hAnsi="Garamond"/>
                <w:smallCaps/>
              </w:rPr>
              <w:t>American Association of Law Schools</w:t>
            </w:r>
          </w:p>
          <w:p w14:paraId="10A24CE3" w14:textId="7CD7132D" w:rsidR="008E0EBF" w:rsidRDefault="008E0EBF" w:rsidP="007363F7">
            <w:pPr>
              <w:keepLines/>
              <w:widowControl w:val="0"/>
              <w:ind w:left="360" w:righ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2018 New Scholars Workshop </w:t>
            </w:r>
            <w:r w:rsidR="00C61B98">
              <w:rPr>
                <w:rFonts w:ascii="Garamond" w:hAnsi="Garamond"/>
              </w:rPr>
              <w:t>Planning Committee (2017-2018</w:t>
            </w:r>
            <w:r>
              <w:rPr>
                <w:rFonts w:ascii="Garamond" w:hAnsi="Garamond"/>
              </w:rPr>
              <w:t>)</w:t>
            </w:r>
          </w:p>
          <w:p w14:paraId="3D6C5CA2" w14:textId="77777777" w:rsidR="008E0EBF" w:rsidRPr="004447DE" w:rsidRDefault="008E0EBF" w:rsidP="007363F7">
            <w:pPr>
              <w:keepLines/>
              <w:widowControl w:val="0"/>
              <w:ind w:left="360" w:righ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Executive Committee Member, </w:t>
            </w:r>
            <w:r w:rsidRPr="004447DE">
              <w:rPr>
                <w:rFonts w:ascii="Garamond" w:hAnsi="Garamond"/>
              </w:rPr>
              <w:t xml:space="preserve">Section on </w:t>
            </w:r>
            <w:r>
              <w:rPr>
                <w:rFonts w:ascii="Garamond" w:hAnsi="Garamond"/>
              </w:rPr>
              <w:t>Business Associations (2013-2015</w:t>
            </w:r>
            <w:r w:rsidRPr="004447DE">
              <w:rPr>
                <w:rFonts w:ascii="Garamond" w:hAnsi="Garamond"/>
              </w:rPr>
              <w:t>)</w:t>
            </w:r>
          </w:p>
          <w:p w14:paraId="012A873A" w14:textId="77777777" w:rsidR="008E0EBF" w:rsidRPr="004447DE" w:rsidRDefault="008E0EBF" w:rsidP="007363F7">
            <w:pPr>
              <w:keepLines/>
              <w:widowControl w:val="0"/>
              <w:ind w:left="360" w:righ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Member, </w:t>
            </w:r>
            <w:r w:rsidRPr="004447DE">
              <w:rPr>
                <w:rFonts w:ascii="Garamond" w:hAnsi="Garamond"/>
              </w:rPr>
              <w:t>Section on Education</w:t>
            </w:r>
          </w:p>
          <w:p w14:paraId="57925D6A" w14:textId="77777777" w:rsidR="008E0EBF" w:rsidRDefault="008E0EBF" w:rsidP="007363F7">
            <w:pPr>
              <w:keepLines/>
              <w:widowControl w:val="0"/>
              <w:ind w:left="360" w:righ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Member, </w:t>
            </w:r>
            <w:r w:rsidRPr="004447DE">
              <w:rPr>
                <w:rFonts w:ascii="Garamond" w:hAnsi="Garamond"/>
              </w:rPr>
              <w:t xml:space="preserve">Section on Contracts </w:t>
            </w:r>
          </w:p>
          <w:p w14:paraId="25167ED5" w14:textId="77777777" w:rsidR="008E0EBF" w:rsidRPr="004447DE" w:rsidRDefault="008E0EBF" w:rsidP="007363F7">
            <w:pPr>
              <w:keepLines/>
              <w:widowControl w:val="0"/>
              <w:ind w:left="360" w:righ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Member, Section on International Law</w:t>
            </w:r>
          </w:p>
          <w:p w14:paraId="6B0C6FB8" w14:textId="77777777" w:rsidR="008E0EBF" w:rsidRPr="004447DE" w:rsidRDefault="008E0EBF" w:rsidP="007363F7">
            <w:pPr>
              <w:keepLines/>
              <w:widowControl w:val="0"/>
              <w:ind w:left="360" w:righ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Member, </w:t>
            </w:r>
            <w:r w:rsidRPr="004447DE">
              <w:rPr>
                <w:rFonts w:ascii="Garamond" w:hAnsi="Garamond"/>
              </w:rPr>
              <w:t xml:space="preserve">Section on </w:t>
            </w:r>
            <w:r>
              <w:rPr>
                <w:rFonts w:ascii="Garamond" w:hAnsi="Garamond"/>
              </w:rPr>
              <w:t>New Law Professors (2007-2010</w:t>
            </w:r>
            <w:r w:rsidRPr="004447DE">
              <w:rPr>
                <w:rFonts w:ascii="Garamond" w:hAnsi="Garamond"/>
              </w:rPr>
              <w:t>)</w:t>
            </w:r>
          </w:p>
          <w:p w14:paraId="5726C47A" w14:textId="77777777" w:rsidR="008E0EBF" w:rsidRPr="004447DE" w:rsidRDefault="008E0EBF" w:rsidP="007363F7">
            <w:pPr>
              <w:keepLines/>
              <w:widowControl w:val="0"/>
              <w:ind w:right="720"/>
              <w:rPr>
                <w:rFonts w:ascii="Garamond" w:hAnsi="Garamond"/>
              </w:rPr>
            </w:pPr>
            <w:r w:rsidRPr="004447DE">
              <w:rPr>
                <w:rFonts w:ascii="Garamond" w:hAnsi="Garamond"/>
                <w:smallCaps/>
              </w:rPr>
              <w:t>Southeastern Association of Law Schools</w:t>
            </w:r>
            <w:r w:rsidRPr="004447DE">
              <w:rPr>
                <w:rFonts w:ascii="Garamond" w:hAnsi="Garamond"/>
              </w:rPr>
              <w:t xml:space="preserve"> (SEALS) </w:t>
            </w:r>
          </w:p>
          <w:p w14:paraId="0440ADCE" w14:textId="054C660C" w:rsidR="008E0EBF" w:rsidRDefault="008E0EBF" w:rsidP="007363F7">
            <w:pPr>
              <w:keepLines/>
              <w:widowControl w:val="0"/>
              <w:ind w:firstLine="324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>M</w:t>
            </w:r>
            <w:r>
              <w:rPr>
                <w:rFonts w:ascii="Garamond" w:hAnsi="Garamond"/>
              </w:rPr>
              <w:t>oderator Committee (2011-2015</w:t>
            </w:r>
            <w:r w:rsidRPr="004447DE">
              <w:rPr>
                <w:rFonts w:ascii="Garamond" w:hAnsi="Garamond"/>
              </w:rPr>
              <w:t>)</w:t>
            </w:r>
          </w:p>
        </w:tc>
      </w:tr>
      <w:tr w:rsidR="008E0EBF" w14:paraId="7C8AA4D9" w14:textId="77777777" w:rsidTr="003F4F30">
        <w:tc>
          <w:tcPr>
            <w:tcW w:w="1892" w:type="dxa"/>
          </w:tcPr>
          <w:p w14:paraId="7FB15F2E" w14:textId="77777777" w:rsidR="008E0EBF" w:rsidRPr="004447DE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</w:p>
        </w:tc>
        <w:tc>
          <w:tcPr>
            <w:tcW w:w="355" w:type="dxa"/>
          </w:tcPr>
          <w:p w14:paraId="529D734D" w14:textId="77777777" w:rsidR="008E0EBF" w:rsidRDefault="008E0EBF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7D5D3A18" w14:textId="77777777" w:rsidR="008E0EBF" w:rsidRDefault="008E0EBF" w:rsidP="007363F7">
            <w:pPr>
              <w:keepLines/>
              <w:widowControl w:val="0"/>
              <w:ind w:right="720"/>
              <w:rPr>
                <w:rFonts w:ascii="Garamond" w:hAnsi="Garamond"/>
                <w:smallCaps/>
              </w:rPr>
            </w:pPr>
          </w:p>
        </w:tc>
      </w:tr>
      <w:tr w:rsidR="008E0EBF" w14:paraId="2349EA95" w14:textId="77777777" w:rsidTr="00796575">
        <w:trPr>
          <w:trHeight w:val="558"/>
        </w:trPr>
        <w:tc>
          <w:tcPr>
            <w:tcW w:w="1892" w:type="dxa"/>
          </w:tcPr>
          <w:p w14:paraId="67CC92A5" w14:textId="34B7D4C2" w:rsidR="008E0EBF" w:rsidRPr="004447DE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>
              <w:rPr>
                <w:smallCaps/>
                <w:color w:val="auto"/>
                <w:sz w:val="24"/>
              </w:rPr>
              <w:t>Community</w:t>
            </w:r>
            <w:r w:rsidRPr="004447DE">
              <w:rPr>
                <w:smallCaps/>
                <w:color w:val="auto"/>
                <w:sz w:val="24"/>
              </w:rPr>
              <w:t xml:space="preserve"> Service</w:t>
            </w:r>
          </w:p>
        </w:tc>
        <w:tc>
          <w:tcPr>
            <w:tcW w:w="355" w:type="dxa"/>
          </w:tcPr>
          <w:p w14:paraId="2E22BEE6" w14:textId="77777777" w:rsidR="008E0EBF" w:rsidRDefault="008E0EBF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251D0133" w14:textId="77777777" w:rsidR="008E0EBF" w:rsidRPr="008C325C" w:rsidRDefault="008E0EBF" w:rsidP="007363F7">
            <w:pPr>
              <w:keepLines/>
              <w:widowControl w:val="0"/>
              <w:rPr>
                <w:rFonts w:ascii="Garamond" w:hAnsi="Garamond"/>
                <w:smallCaps/>
              </w:rPr>
            </w:pPr>
            <w:r w:rsidRPr="008C325C">
              <w:rPr>
                <w:rFonts w:ascii="Garamond" w:hAnsi="Garamond"/>
                <w:smallCaps/>
              </w:rPr>
              <w:t>Simmons Memorial Foundation</w:t>
            </w:r>
            <w:r>
              <w:rPr>
                <w:rFonts w:ascii="Garamond" w:hAnsi="Garamond"/>
                <w:smallCaps/>
              </w:rPr>
              <w:t xml:space="preserve">, </w:t>
            </w:r>
            <w:r>
              <w:rPr>
                <w:rFonts w:ascii="Garamond" w:hAnsi="Garamond"/>
              </w:rPr>
              <w:t>Executive Director (1996-present)</w:t>
            </w:r>
            <w:r w:rsidRPr="008C325C">
              <w:rPr>
                <w:rFonts w:ascii="Garamond" w:hAnsi="Garamond"/>
                <w:smallCaps/>
              </w:rPr>
              <w:t xml:space="preserve"> </w:t>
            </w:r>
          </w:p>
          <w:p w14:paraId="06025A2B" w14:textId="64C3DA17" w:rsidR="008E0EBF" w:rsidRPr="00796575" w:rsidRDefault="008E0EBF" w:rsidP="007363F7">
            <w:pPr>
              <w:keepLines/>
              <w:widowControl w:val="0"/>
              <w:ind w:right="720"/>
              <w:rPr>
                <w:rFonts w:ascii="Garamond" w:hAnsi="Garamond"/>
                <w:smallCaps/>
              </w:rPr>
            </w:pPr>
            <w:r w:rsidRPr="00796575">
              <w:rPr>
                <w:rFonts w:ascii="Garamond" w:hAnsi="Garamond"/>
                <w:smallCaps/>
              </w:rPr>
              <w:t>Children’s Theatre of Winston-Salem</w:t>
            </w:r>
            <w:r w:rsidRPr="00796575">
              <w:rPr>
                <w:rFonts w:ascii="Garamond" w:hAnsi="Garamond"/>
              </w:rPr>
              <w:t>, Board Member (2007-2011)</w:t>
            </w:r>
          </w:p>
        </w:tc>
      </w:tr>
      <w:tr w:rsidR="008E0EBF" w14:paraId="4FA8B26C" w14:textId="77777777" w:rsidTr="00796575">
        <w:trPr>
          <w:trHeight w:val="297"/>
        </w:trPr>
        <w:tc>
          <w:tcPr>
            <w:tcW w:w="1892" w:type="dxa"/>
          </w:tcPr>
          <w:p w14:paraId="2B8EEB2B" w14:textId="77777777" w:rsidR="008E0EBF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</w:p>
        </w:tc>
        <w:tc>
          <w:tcPr>
            <w:tcW w:w="355" w:type="dxa"/>
          </w:tcPr>
          <w:p w14:paraId="24E0A19F" w14:textId="77777777" w:rsidR="008E0EBF" w:rsidRDefault="008E0EBF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58A511CC" w14:textId="77777777" w:rsidR="008E0EBF" w:rsidRPr="008C325C" w:rsidRDefault="008E0EBF" w:rsidP="007363F7">
            <w:pPr>
              <w:keepLines/>
              <w:widowControl w:val="0"/>
              <w:rPr>
                <w:rFonts w:ascii="Garamond" w:hAnsi="Garamond"/>
                <w:smallCaps/>
              </w:rPr>
            </w:pPr>
          </w:p>
        </w:tc>
      </w:tr>
      <w:tr w:rsidR="008E0EBF" w14:paraId="6D8FCA15" w14:textId="77777777" w:rsidTr="003F4F30">
        <w:tc>
          <w:tcPr>
            <w:tcW w:w="1892" w:type="dxa"/>
          </w:tcPr>
          <w:p w14:paraId="2C00FB8B" w14:textId="5D623EDD" w:rsidR="008E0EBF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 w:rsidRPr="004447DE">
              <w:rPr>
                <w:smallCaps/>
                <w:color w:val="auto"/>
                <w:sz w:val="24"/>
              </w:rPr>
              <w:t>Professional Activities</w:t>
            </w:r>
          </w:p>
        </w:tc>
        <w:tc>
          <w:tcPr>
            <w:tcW w:w="355" w:type="dxa"/>
          </w:tcPr>
          <w:p w14:paraId="3CBEDE3C" w14:textId="77777777" w:rsidR="008E0EBF" w:rsidRDefault="008E0EBF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3347A17E" w14:textId="7CA13523" w:rsidR="00252853" w:rsidRDefault="00252853" w:rsidP="007363F7">
            <w:pPr>
              <w:keepLines/>
              <w:widowControl w:val="0"/>
              <w:rPr>
                <w:rFonts w:ascii="Garamond" w:hAnsi="Garamond"/>
                <w:smallCaps/>
              </w:rPr>
            </w:pPr>
            <w:proofErr w:type="spellStart"/>
            <w:r>
              <w:rPr>
                <w:rFonts w:ascii="Garamond" w:hAnsi="Garamond"/>
                <w:smallCaps/>
              </w:rPr>
              <w:t>Thouron</w:t>
            </w:r>
            <w:proofErr w:type="spellEnd"/>
            <w:r>
              <w:rPr>
                <w:rFonts w:ascii="Garamond" w:hAnsi="Garamond"/>
                <w:smallCaps/>
              </w:rPr>
              <w:t xml:space="preserve"> Award</w:t>
            </w:r>
            <w:r w:rsidR="00796575">
              <w:rPr>
                <w:rFonts w:ascii="Garamond" w:hAnsi="Garamond"/>
                <w:smallCaps/>
              </w:rPr>
              <w:t xml:space="preserve"> U.S.</w:t>
            </w:r>
            <w:r>
              <w:rPr>
                <w:rFonts w:ascii="Garamond" w:hAnsi="Garamond"/>
                <w:smallCaps/>
              </w:rPr>
              <w:t xml:space="preserve"> Selection Committee</w:t>
            </w:r>
            <w:r w:rsidR="00796575">
              <w:rPr>
                <w:rFonts w:ascii="Garamond" w:hAnsi="Garamond"/>
                <w:smallCaps/>
              </w:rPr>
              <w:t xml:space="preserve"> </w:t>
            </w:r>
          </w:p>
          <w:p w14:paraId="238D58DD" w14:textId="77777777" w:rsidR="002006B9" w:rsidRDefault="002006B9" w:rsidP="007363F7">
            <w:pPr>
              <w:keepLines/>
              <w:widowControl w:val="0"/>
              <w:rPr>
                <w:rFonts w:ascii="Garamond" w:hAnsi="Garamond"/>
                <w:smallCaps/>
              </w:rPr>
            </w:pPr>
            <w:r>
              <w:rPr>
                <w:rFonts w:ascii="Garamond" w:hAnsi="Garamond"/>
                <w:smallCaps/>
              </w:rPr>
              <w:t>Science, Technology &amp; Research Institute of Delaware (Stride)</w:t>
            </w:r>
          </w:p>
          <w:p w14:paraId="0096D395" w14:textId="64B31DA8" w:rsidR="002006B9" w:rsidRDefault="002006B9" w:rsidP="002006B9">
            <w:pPr>
              <w:keepLines/>
              <w:widowControl w:val="0"/>
              <w:ind w:left="69" w:firstLine="270"/>
              <w:rPr>
                <w:rFonts w:ascii="Garamond" w:hAnsi="Garamond"/>
              </w:rPr>
            </w:pPr>
            <w:r w:rsidRPr="002006B9">
              <w:rPr>
                <w:rFonts w:ascii="Garamond" w:hAnsi="Garamond"/>
              </w:rPr>
              <w:t>Advisory Board Member (2018-present)</w:t>
            </w:r>
          </w:p>
          <w:p w14:paraId="706F768A" w14:textId="77777777" w:rsidR="00C63957" w:rsidRPr="00C63957" w:rsidRDefault="00C63957" w:rsidP="00C63957">
            <w:pPr>
              <w:rPr>
                <w:rFonts w:asciiTheme="minorHAnsi" w:eastAsia="Times New Roman" w:hAnsiTheme="minorHAnsi"/>
                <w:smallCaps/>
              </w:rPr>
            </w:pPr>
            <w:r w:rsidRPr="00C63957">
              <w:rPr>
                <w:rFonts w:asciiTheme="minorHAnsi" w:eastAsia="Times New Roman" w:hAnsiTheme="minorHAnsi" w:cs="Arial"/>
                <w:smallCaps/>
                <w:color w:val="222222"/>
                <w:shd w:val="clear" w:color="auto" w:fill="FFFFFF"/>
              </w:rPr>
              <w:t>Expert Reference Group on Climate Change and Securities Law</w:t>
            </w:r>
          </w:p>
          <w:p w14:paraId="4DD46B32" w14:textId="7CB2B0F6" w:rsidR="007D63E6" w:rsidRPr="002006B9" w:rsidRDefault="003F337A" w:rsidP="002006B9">
            <w:pPr>
              <w:keepLines/>
              <w:widowControl w:val="0"/>
              <w:ind w:left="69" w:firstLine="2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Group Member (2018-present)</w:t>
            </w:r>
          </w:p>
          <w:p w14:paraId="2CCF0E8A" w14:textId="77777777" w:rsidR="008E0EBF" w:rsidRPr="000A43F8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  <w:smallCaps/>
              </w:rPr>
              <w:t>Chief Justice Joseph Branch Inn of Court (2013-</w:t>
            </w:r>
            <w:r>
              <w:rPr>
                <w:rFonts w:ascii="Garamond" w:hAnsi="Garamond"/>
              </w:rPr>
              <w:t>present)</w:t>
            </w:r>
          </w:p>
          <w:p w14:paraId="1E6D9894" w14:textId="77777777" w:rsidR="008E0EBF" w:rsidRPr="004447DE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 w:rsidRPr="004447DE">
              <w:rPr>
                <w:rFonts w:ascii="Garamond" w:hAnsi="Garamond"/>
                <w:smallCaps/>
              </w:rPr>
              <w:t>American Bar Foundation,</w:t>
            </w:r>
            <w:r w:rsidRPr="004447DE">
              <w:rPr>
                <w:rFonts w:ascii="Garamond" w:hAnsi="Garamond"/>
              </w:rPr>
              <w:t xml:space="preserve"> Fellow (2010-present)</w:t>
            </w:r>
          </w:p>
          <w:p w14:paraId="6D833470" w14:textId="77777777" w:rsidR="008E0EBF" w:rsidRPr="004447DE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 w:rsidRPr="004447DE">
              <w:rPr>
                <w:rFonts w:ascii="Garamond" w:hAnsi="Garamond"/>
                <w:smallCaps/>
              </w:rPr>
              <w:t>American Law Institute</w:t>
            </w:r>
            <w:r w:rsidRPr="004447DE">
              <w:rPr>
                <w:rFonts w:ascii="Garamond" w:hAnsi="Garamond"/>
              </w:rPr>
              <w:t xml:space="preserve"> (2009-present)</w:t>
            </w:r>
          </w:p>
          <w:p w14:paraId="5D7FA240" w14:textId="0C4E0258" w:rsidR="008E0EBF" w:rsidRPr="004447DE" w:rsidRDefault="008E0EBF" w:rsidP="007363F7">
            <w:pPr>
              <w:keepLines/>
              <w:widowControl w:val="0"/>
              <w:ind w:left="364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 xml:space="preserve">Members Consultative Group, Principles of Law of Nonprofit Organizations </w:t>
            </w:r>
            <w:r w:rsidR="006F6D4E">
              <w:rPr>
                <w:rFonts w:ascii="Garamond" w:hAnsi="Garamond"/>
              </w:rPr>
              <w:br/>
            </w:r>
            <w:r w:rsidRPr="004447DE">
              <w:rPr>
                <w:rFonts w:ascii="Garamond" w:hAnsi="Garamond"/>
              </w:rPr>
              <w:t>(2010-present)</w:t>
            </w:r>
          </w:p>
          <w:p w14:paraId="04804AF1" w14:textId="77777777" w:rsidR="008E0EBF" w:rsidRPr="004447DE" w:rsidRDefault="008E0EBF" w:rsidP="007363F7">
            <w:pPr>
              <w:keepLines/>
              <w:widowControl w:val="0"/>
              <w:tabs>
                <w:tab w:val="left" w:pos="9630"/>
              </w:tabs>
              <w:ind w:left="364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>Members Consultative Group, Restatement Third, The Law of Consumer Contracts (2012-present)</w:t>
            </w:r>
          </w:p>
          <w:p w14:paraId="48C7C349" w14:textId="77777777" w:rsidR="008E0EBF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 w:rsidRPr="004447DE">
              <w:rPr>
                <w:rFonts w:ascii="Garamond" w:hAnsi="Garamond"/>
                <w:smallCaps/>
              </w:rPr>
              <w:t>American Bar Association</w:t>
            </w:r>
            <w:r w:rsidRPr="004447DE">
              <w:rPr>
                <w:rFonts w:ascii="Garamond" w:hAnsi="Garamond"/>
              </w:rPr>
              <w:t xml:space="preserve"> (2007-present)</w:t>
            </w:r>
          </w:p>
          <w:p w14:paraId="329BA927" w14:textId="6FDE0E07" w:rsidR="008E0EBF" w:rsidRPr="004447DE" w:rsidRDefault="008E0EBF" w:rsidP="007363F7">
            <w:pPr>
              <w:keepLines/>
              <w:widowControl w:val="0"/>
              <w:tabs>
                <w:tab w:val="left" w:pos="489"/>
              </w:tabs>
              <w:ind w:firstLine="41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Business Law Section (2017-present)</w:t>
            </w:r>
          </w:p>
          <w:p w14:paraId="27F7B595" w14:textId="77777777" w:rsidR="008E0EBF" w:rsidRDefault="008E0EBF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  <w:smallCaps/>
              </w:rPr>
              <w:t>Ma</w:t>
            </w:r>
            <w:r w:rsidRPr="004447DE">
              <w:rPr>
                <w:rFonts w:ascii="Garamond" w:hAnsi="Garamond"/>
                <w:smallCaps/>
              </w:rPr>
              <w:t>ryland State Bar Association</w:t>
            </w:r>
            <w:r w:rsidRPr="004447DE">
              <w:rPr>
                <w:rFonts w:ascii="Garamond" w:hAnsi="Garamond"/>
              </w:rPr>
              <w:t xml:space="preserve"> (1999-present)</w:t>
            </w:r>
          </w:p>
          <w:p w14:paraId="01607C5E" w14:textId="7E5F5FEB" w:rsidR="008E0EBF" w:rsidRPr="008C325C" w:rsidRDefault="008E0EBF" w:rsidP="007363F7">
            <w:pPr>
              <w:keepLines/>
              <w:widowControl w:val="0"/>
              <w:rPr>
                <w:rFonts w:ascii="Garamond" w:hAnsi="Garamond"/>
                <w:smallCaps/>
              </w:rPr>
            </w:pPr>
            <w:r w:rsidRPr="004447DE">
              <w:rPr>
                <w:rFonts w:ascii="Garamond" w:hAnsi="Garamond"/>
                <w:smallCaps/>
              </w:rPr>
              <w:t>District of Columbia Bar Association</w:t>
            </w:r>
            <w:r w:rsidRPr="004447DE">
              <w:rPr>
                <w:rFonts w:ascii="Garamond" w:hAnsi="Garamond"/>
              </w:rPr>
              <w:t xml:space="preserve"> (2002-present)</w:t>
            </w:r>
          </w:p>
        </w:tc>
      </w:tr>
      <w:tr w:rsidR="008E0EBF" w14:paraId="199AD1F1" w14:textId="77777777" w:rsidTr="003F4F30">
        <w:tc>
          <w:tcPr>
            <w:tcW w:w="1892" w:type="dxa"/>
          </w:tcPr>
          <w:p w14:paraId="7E9C9391" w14:textId="5E0B2727" w:rsidR="008E0EBF" w:rsidRPr="004447DE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</w:p>
        </w:tc>
        <w:tc>
          <w:tcPr>
            <w:tcW w:w="355" w:type="dxa"/>
          </w:tcPr>
          <w:p w14:paraId="57D625A0" w14:textId="77777777" w:rsidR="008E0EBF" w:rsidRDefault="008E0EBF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4D6E4005" w14:textId="77777777" w:rsidR="008E0EBF" w:rsidRDefault="008E0EBF" w:rsidP="007363F7">
            <w:pPr>
              <w:keepLines/>
              <w:widowControl w:val="0"/>
              <w:ind w:right="720"/>
              <w:rPr>
                <w:rFonts w:ascii="Garamond" w:hAnsi="Garamond"/>
                <w:smallCaps/>
              </w:rPr>
            </w:pPr>
          </w:p>
        </w:tc>
      </w:tr>
      <w:tr w:rsidR="008E0EBF" w14:paraId="45832CFA" w14:textId="77777777" w:rsidTr="003F4F30">
        <w:tc>
          <w:tcPr>
            <w:tcW w:w="1892" w:type="dxa"/>
          </w:tcPr>
          <w:p w14:paraId="739BF1D8" w14:textId="7CF527CB" w:rsidR="008E0EBF" w:rsidRPr="004447DE" w:rsidRDefault="008E0EBF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 w:rsidRPr="004447DE">
              <w:rPr>
                <w:smallCaps/>
                <w:color w:val="auto"/>
                <w:sz w:val="24"/>
              </w:rPr>
              <w:t>Honors &amp; Awards</w:t>
            </w:r>
          </w:p>
        </w:tc>
        <w:tc>
          <w:tcPr>
            <w:tcW w:w="355" w:type="dxa"/>
          </w:tcPr>
          <w:p w14:paraId="4099EA2C" w14:textId="77777777" w:rsidR="008E0EBF" w:rsidRDefault="008E0EBF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29C28AC7" w14:textId="77777777" w:rsidR="008E0EBF" w:rsidRDefault="008E0EBF" w:rsidP="007363F7">
            <w:pPr>
              <w:pStyle w:val="ListParagraph"/>
              <w:keepLines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rPr>
                <w:rFonts w:ascii="Garamond" w:hAnsi="Garamond"/>
                <w:sz w:val="24"/>
                <w:szCs w:val="24"/>
              </w:rPr>
            </w:pPr>
            <w:r w:rsidRPr="00C15166">
              <w:rPr>
                <w:rFonts w:ascii="Garamond" w:hAnsi="Garamond"/>
                <w:i/>
                <w:sz w:val="24"/>
                <w:szCs w:val="24"/>
              </w:rPr>
              <w:t>Winston-Salem Chronicle</w:t>
            </w:r>
            <w:r>
              <w:rPr>
                <w:rFonts w:ascii="Garamond" w:hAnsi="Garamond"/>
                <w:sz w:val="24"/>
                <w:szCs w:val="24"/>
              </w:rPr>
              <w:t xml:space="preserve"> Community Service Award 2016</w:t>
            </w:r>
          </w:p>
          <w:p w14:paraId="2752BDF3" w14:textId="77777777" w:rsidR="008E0EBF" w:rsidRPr="00235635" w:rsidRDefault="008E0EBF" w:rsidP="007363F7">
            <w:pPr>
              <w:pStyle w:val="ListParagraph"/>
              <w:keepLines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rPr>
                <w:rFonts w:ascii="Garamond" w:hAnsi="Garamond"/>
                <w:sz w:val="24"/>
                <w:szCs w:val="24"/>
              </w:rPr>
            </w:pPr>
            <w:r w:rsidRPr="00235635">
              <w:rPr>
                <w:rFonts w:ascii="Garamond" w:hAnsi="Garamond"/>
                <w:sz w:val="24"/>
                <w:szCs w:val="24"/>
              </w:rPr>
              <w:t>MERIT Hall of Fame Award 2015</w:t>
            </w:r>
          </w:p>
          <w:p w14:paraId="2C4DDBF6" w14:textId="77777777" w:rsidR="008E0EBF" w:rsidRPr="006B6A56" w:rsidRDefault="008E0EBF" w:rsidP="007363F7">
            <w:pPr>
              <w:pStyle w:val="ListParagraph"/>
              <w:keepLines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rPr>
                <w:rFonts w:ascii="Garamond" w:hAnsi="Garamond"/>
                <w:sz w:val="24"/>
                <w:szCs w:val="24"/>
              </w:rPr>
            </w:pPr>
            <w:r w:rsidRPr="006B6A56">
              <w:rPr>
                <w:rFonts w:ascii="Garamond" w:hAnsi="Garamond"/>
                <w:sz w:val="24"/>
                <w:szCs w:val="24"/>
              </w:rPr>
              <w:t>Fellow of the American Bar Foundation (elected 2010)</w:t>
            </w:r>
          </w:p>
          <w:p w14:paraId="41FC2730" w14:textId="77777777" w:rsidR="008E0EBF" w:rsidRPr="006B6A56" w:rsidRDefault="008E0EBF" w:rsidP="007363F7">
            <w:pPr>
              <w:pStyle w:val="ListParagraph"/>
              <w:keepLines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rPr>
                <w:rFonts w:ascii="Garamond" w:hAnsi="Garamond"/>
                <w:sz w:val="24"/>
                <w:szCs w:val="24"/>
              </w:rPr>
            </w:pPr>
            <w:r w:rsidRPr="006B6A56">
              <w:rPr>
                <w:rFonts w:ascii="Garamond" w:hAnsi="Garamond"/>
                <w:sz w:val="24"/>
                <w:szCs w:val="24"/>
              </w:rPr>
              <w:t>American Law Institute (elected December 2009)</w:t>
            </w:r>
          </w:p>
          <w:p w14:paraId="01782679" w14:textId="77777777" w:rsidR="008E0EBF" w:rsidRPr="006B6A56" w:rsidRDefault="008E0EBF" w:rsidP="007363F7">
            <w:pPr>
              <w:pStyle w:val="ListParagraph"/>
              <w:keepLines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rPr>
                <w:rFonts w:ascii="Garamond" w:hAnsi="Garamond"/>
                <w:sz w:val="24"/>
                <w:szCs w:val="24"/>
              </w:rPr>
            </w:pPr>
            <w:r w:rsidRPr="006B6A56">
              <w:rPr>
                <w:rFonts w:ascii="Garamond" w:hAnsi="Garamond"/>
                <w:sz w:val="24"/>
                <w:szCs w:val="24"/>
              </w:rPr>
              <w:t>Dr. Sadie T.M. Alexander Distinguished Graduate Award 2004, Univ. of Pennsylvania Law School Black Law Students Association.</w:t>
            </w:r>
          </w:p>
          <w:p w14:paraId="79688EC0" w14:textId="77777777" w:rsidR="008E0EBF" w:rsidRPr="006B6A56" w:rsidRDefault="008E0EBF" w:rsidP="007363F7">
            <w:pPr>
              <w:pStyle w:val="ListParagraph"/>
              <w:keepLines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rPr>
                <w:rFonts w:ascii="Garamond" w:hAnsi="Garamond"/>
                <w:sz w:val="24"/>
                <w:szCs w:val="24"/>
              </w:rPr>
            </w:pPr>
            <w:r w:rsidRPr="006B6A56">
              <w:rPr>
                <w:rFonts w:ascii="Garamond" w:hAnsi="Garamond"/>
                <w:sz w:val="24"/>
                <w:szCs w:val="24"/>
              </w:rPr>
              <w:lastRenderedPageBreak/>
              <w:t>MBNA Foundation’s "Best Practices in Education Award" 2002, an annual award given to the MBNA Foundation’s top grantees.  1 of 9 recipients out of 400 hundred programs considered.</w:t>
            </w:r>
          </w:p>
          <w:p w14:paraId="0BCCDF56" w14:textId="77777777" w:rsidR="00805309" w:rsidRPr="00805309" w:rsidRDefault="008E0EBF" w:rsidP="007363F7">
            <w:pPr>
              <w:pStyle w:val="ListParagraph"/>
              <w:keepLines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rPr>
                <w:rFonts w:ascii="Garamond" w:hAnsi="Garamond"/>
                <w:smallCaps/>
                <w:sz w:val="24"/>
                <w:szCs w:val="24"/>
              </w:rPr>
            </w:pPr>
            <w:proofErr w:type="spellStart"/>
            <w:r w:rsidRPr="006B6A56">
              <w:rPr>
                <w:rFonts w:ascii="Garamond" w:hAnsi="Garamond"/>
                <w:sz w:val="24"/>
                <w:szCs w:val="24"/>
              </w:rPr>
              <w:t>Thouron</w:t>
            </w:r>
            <w:proofErr w:type="spellEnd"/>
            <w:r w:rsidRPr="006B6A56">
              <w:rPr>
                <w:rFonts w:ascii="Garamond" w:hAnsi="Garamond"/>
                <w:sz w:val="24"/>
                <w:szCs w:val="24"/>
              </w:rPr>
              <w:t xml:space="preserve"> Award (2000-2001)</w:t>
            </w:r>
          </w:p>
          <w:p w14:paraId="6BB979D1" w14:textId="74EB8EA9" w:rsidR="008E0EBF" w:rsidRDefault="008E0EBF" w:rsidP="007363F7">
            <w:pPr>
              <w:pStyle w:val="ListParagraph"/>
              <w:keepLines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rPr>
                <w:rFonts w:ascii="Garamond" w:hAnsi="Garamond"/>
                <w:smallCaps/>
                <w:sz w:val="24"/>
                <w:szCs w:val="24"/>
              </w:rPr>
            </w:pPr>
            <w:r w:rsidRPr="006B6A56">
              <w:rPr>
                <w:rFonts w:ascii="Garamond" w:hAnsi="Garamond"/>
                <w:sz w:val="24"/>
                <w:szCs w:val="24"/>
              </w:rPr>
              <w:t>Fontaine Fellowship (1996-1999)</w:t>
            </w:r>
          </w:p>
        </w:tc>
      </w:tr>
      <w:tr w:rsidR="00805309" w14:paraId="261B83CD" w14:textId="77777777" w:rsidTr="003F4F30">
        <w:tc>
          <w:tcPr>
            <w:tcW w:w="1892" w:type="dxa"/>
          </w:tcPr>
          <w:p w14:paraId="06C0F277" w14:textId="77777777" w:rsidR="00805309" w:rsidRPr="004447DE" w:rsidRDefault="00805309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</w:p>
        </w:tc>
        <w:tc>
          <w:tcPr>
            <w:tcW w:w="355" w:type="dxa"/>
          </w:tcPr>
          <w:p w14:paraId="33227435" w14:textId="77777777" w:rsidR="00805309" w:rsidRDefault="00805309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4BD0D8D7" w14:textId="77777777" w:rsidR="00805309" w:rsidRPr="00805309" w:rsidRDefault="00805309" w:rsidP="007363F7">
            <w:pPr>
              <w:keepLines/>
              <w:widowControl w:val="0"/>
              <w:tabs>
                <w:tab w:val="left" w:pos="2160"/>
              </w:tabs>
              <w:ind w:right="720"/>
              <w:rPr>
                <w:rFonts w:ascii="Garamond" w:hAnsi="Garamond"/>
                <w:i/>
              </w:rPr>
            </w:pPr>
          </w:p>
        </w:tc>
      </w:tr>
      <w:tr w:rsidR="00805309" w14:paraId="53C15ABC" w14:textId="77777777" w:rsidTr="003F4F30">
        <w:tc>
          <w:tcPr>
            <w:tcW w:w="1892" w:type="dxa"/>
          </w:tcPr>
          <w:p w14:paraId="7B8A6F6A" w14:textId="40E41734" w:rsidR="00805309" w:rsidRPr="004447DE" w:rsidRDefault="00805309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 w:rsidRPr="004447DE">
              <w:rPr>
                <w:smallCaps/>
                <w:color w:val="auto"/>
                <w:sz w:val="24"/>
              </w:rPr>
              <w:t>Bar Memberships</w:t>
            </w:r>
          </w:p>
        </w:tc>
        <w:tc>
          <w:tcPr>
            <w:tcW w:w="355" w:type="dxa"/>
          </w:tcPr>
          <w:p w14:paraId="08E1302B" w14:textId="77777777" w:rsidR="00805309" w:rsidRDefault="00805309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3A6DE371" w14:textId="77777777" w:rsidR="00805309" w:rsidRPr="004447DE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4447DE">
              <w:rPr>
                <w:rFonts w:ascii="Garamond" w:hAnsi="Garamond"/>
              </w:rPr>
              <w:t>District of Columbia</w:t>
            </w:r>
          </w:p>
          <w:p w14:paraId="4201A26F" w14:textId="24BB34A7" w:rsidR="00805309" w:rsidRPr="00805309" w:rsidRDefault="00805309" w:rsidP="007363F7">
            <w:pPr>
              <w:keepLines/>
              <w:widowControl w:val="0"/>
              <w:tabs>
                <w:tab w:val="left" w:pos="2160"/>
              </w:tabs>
              <w:ind w:right="720"/>
              <w:rPr>
                <w:rFonts w:ascii="Garamond" w:hAnsi="Garamond"/>
                <w:i/>
              </w:rPr>
            </w:pPr>
            <w:r w:rsidRPr="004447DE">
              <w:rPr>
                <w:rFonts w:ascii="Garamond" w:hAnsi="Garamond"/>
              </w:rPr>
              <w:t>Maryland</w:t>
            </w:r>
          </w:p>
        </w:tc>
      </w:tr>
      <w:tr w:rsidR="00805309" w14:paraId="276D150D" w14:textId="77777777" w:rsidTr="003F4F30">
        <w:tc>
          <w:tcPr>
            <w:tcW w:w="1892" w:type="dxa"/>
          </w:tcPr>
          <w:p w14:paraId="602A02A3" w14:textId="77777777" w:rsidR="00805309" w:rsidRPr="004447DE" w:rsidRDefault="00805309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</w:p>
        </w:tc>
        <w:tc>
          <w:tcPr>
            <w:tcW w:w="355" w:type="dxa"/>
          </w:tcPr>
          <w:p w14:paraId="46B416DC" w14:textId="77777777" w:rsidR="00805309" w:rsidRDefault="00805309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05DDC221" w14:textId="77777777" w:rsidR="00805309" w:rsidRPr="004447DE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</w:p>
        </w:tc>
      </w:tr>
      <w:tr w:rsidR="00805309" w14:paraId="4B9976BA" w14:textId="77777777" w:rsidTr="003F4F30">
        <w:tc>
          <w:tcPr>
            <w:tcW w:w="1892" w:type="dxa"/>
          </w:tcPr>
          <w:p w14:paraId="711EEF8F" w14:textId="17D88296" w:rsidR="00805309" w:rsidRPr="004447DE" w:rsidRDefault="00805309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 w:rsidRPr="00235635">
              <w:rPr>
                <w:smallCaps/>
                <w:color w:val="auto"/>
                <w:sz w:val="24"/>
              </w:rPr>
              <w:t>Selected Presentations</w:t>
            </w:r>
          </w:p>
        </w:tc>
        <w:tc>
          <w:tcPr>
            <w:tcW w:w="355" w:type="dxa"/>
          </w:tcPr>
          <w:p w14:paraId="4AD9262D" w14:textId="77777777" w:rsidR="00805309" w:rsidRDefault="00805309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1D920C34" w14:textId="3A4FC2FF" w:rsidR="00030F81" w:rsidRDefault="00030F81" w:rsidP="007363F7">
            <w:pPr>
              <w:pStyle w:val="Heading2"/>
              <w:keepNext w:val="0"/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Presenter,</w:t>
            </w:r>
            <w:r w:rsidR="007568C0">
              <w:rPr>
                <w:rFonts w:asciiTheme="minorHAnsi" w:hAnsiTheme="minorHAnsi"/>
                <w:sz w:val="24"/>
                <w:szCs w:val="24"/>
              </w:rPr>
              <w:t xml:space="preserve"> Corporate Lawyer Colloquium, </w:t>
            </w:r>
            <w:r w:rsidR="00252853">
              <w:rPr>
                <w:rFonts w:asciiTheme="minorHAnsi" w:hAnsiTheme="minorHAnsi"/>
                <w:sz w:val="24"/>
                <w:szCs w:val="24"/>
              </w:rPr>
              <w:t>co-</w:t>
            </w:r>
            <w:r w:rsidR="007568C0">
              <w:rPr>
                <w:rFonts w:asciiTheme="minorHAnsi" w:hAnsiTheme="minorHAnsi"/>
                <w:sz w:val="24"/>
                <w:szCs w:val="24"/>
              </w:rPr>
              <w:t>sponsored by Fordham Law Review and the Stein Center for</w:t>
            </w:r>
            <w:r w:rsidR="00300A50">
              <w:rPr>
                <w:rFonts w:asciiTheme="minorHAnsi" w:hAnsiTheme="minorHAnsi"/>
                <w:sz w:val="24"/>
                <w:szCs w:val="24"/>
              </w:rPr>
              <w:t xml:space="preserve"> Law and</w:t>
            </w:r>
            <w:r w:rsidR="007568C0">
              <w:rPr>
                <w:rFonts w:asciiTheme="minorHAnsi" w:hAnsiTheme="minorHAnsi"/>
                <w:sz w:val="24"/>
                <w:szCs w:val="24"/>
              </w:rPr>
              <w:t xml:space="preserve"> Ethics</w:t>
            </w:r>
            <w:r w:rsidR="00300A5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252853">
              <w:rPr>
                <w:rFonts w:asciiTheme="minorHAnsi" w:hAnsiTheme="minorHAnsi"/>
                <w:sz w:val="24"/>
                <w:szCs w:val="24"/>
              </w:rPr>
              <w:t>New York, NY, Oc</w:t>
            </w:r>
            <w:r w:rsidR="008C79F4">
              <w:rPr>
                <w:rFonts w:asciiTheme="minorHAnsi" w:hAnsiTheme="minorHAnsi"/>
                <w:sz w:val="24"/>
                <w:szCs w:val="24"/>
              </w:rPr>
              <w:t>t</w:t>
            </w:r>
            <w:r w:rsidR="00252853">
              <w:rPr>
                <w:rFonts w:asciiTheme="minorHAnsi" w:hAnsiTheme="minorHAnsi"/>
                <w:sz w:val="24"/>
                <w:szCs w:val="24"/>
              </w:rPr>
              <w:t>o</w:t>
            </w:r>
            <w:r w:rsidR="008C79F4">
              <w:rPr>
                <w:rFonts w:asciiTheme="minorHAnsi" w:hAnsiTheme="minorHAnsi"/>
                <w:sz w:val="24"/>
                <w:szCs w:val="24"/>
              </w:rPr>
              <w:t>ber</w:t>
            </w:r>
            <w:r w:rsidR="00252853">
              <w:rPr>
                <w:rFonts w:asciiTheme="minorHAnsi" w:hAnsiTheme="minorHAnsi"/>
                <w:sz w:val="24"/>
                <w:szCs w:val="24"/>
              </w:rPr>
              <w:t xml:space="preserve"> 11, 2019</w:t>
            </w:r>
            <w:r w:rsidR="002B4508">
              <w:rPr>
                <w:rFonts w:asciiTheme="minorHAnsi" w:hAnsiTheme="minorHAnsi"/>
                <w:sz w:val="24"/>
                <w:szCs w:val="24"/>
              </w:rPr>
              <w:t xml:space="preserve"> (forthcoming)</w:t>
            </w:r>
          </w:p>
          <w:p w14:paraId="06EAE4EF" w14:textId="77777777" w:rsidR="00030F81" w:rsidRDefault="00030F81" w:rsidP="007363F7">
            <w:pPr>
              <w:pStyle w:val="Heading2"/>
              <w:keepNext w:val="0"/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2A8D7431" w14:textId="20F87845" w:rsidR="002A2CDF" w:rsidRDefault="002A2CDF" w:rsidP="007363F7">
            <w:pPr>
              <w:pStyle w:val="Heading2"/>
              <w:keepNext w:val="0"/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Presenter, "</w:t>
            </w:r>
            <w:r w:rsidR="00F52B0D">
              <w:rPr>
                <w:rFonts w:asciiTheme="minorHAnsi" w:hAnsiTheme="minorHAnsi"/>
                <w:sz w:val="24"/>
                <w:szCs w:val="24"/>
              </w:rPr>
              <w:t>Civil Rights and Shareholder Activism</w:t>
            </w:r>
            <w:r w:rsidR="00030F81">
              <w:rPr>
                <w:rFonts w:asciiTheme="minorHAnsi" w:hAnsiTheme="minorHAnsi"/>
                <w:sz w:val="24"/>
                <w:szCs w:val="24"/>
              </w:rPr>
              <w:t>” symposium sponsored by Washington &amp; Lee Law Review, Lexington, VA, February 15, 2018</w:t>
            </w:r>
            <w:r w:rsidR="002B4508">
              <w:rPr>
                <w:rFonts w:asciiTheme="minorHAnsi" w:hAnsiTheme="minorHAnsi"/>
                <w:sz w:val="24"/>
                <w:szCs w:val="24"/>
              </w:rPr>
              <w:t xml:space="preserve"> (forthcoming)</w:t>
            </w:r>
          </w:p>
          <w:p w14:paraId="4FCF3BCA" w14:textId="77777777" w:rsidR="002A2CDF" w:rsidRDefault="002A2CDF" w:rsidP="007363F7">
            <w:pPr>
              <w:pStyle w:val="Heading2"/>
              <w:keepNext w:val="0"/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1147F77A" w14:textId="0BED0BDF" w:rsidR="007515BC" w:rsidRDefault="007515BC" w:rsidP="007363F7">
            <w:pPr>
              <w:pStyle w:val="Heading2"/>
              <w:keepNext w:val="0"/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Co-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Convenor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ICEL Conference, “STEM Learning and Social Justice Roundtable,” Cape Town, South Africa, July 5-6, 2018</w:t>
            </w:r>
          </w:p>
          <w:p w14:paraId="10EDCD5A" w14:textId="77777777" w:rsidR="007515BC" w:rsidRDefault="007515BC" w:rsidP="007363F7">
            <w:pPr>
              <w:pStyle w:val="Heading2"/>
              <w:keepNext w:val="0"/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731FEF77" w14:textId="3EE5CF21" w:rsidR="007515BC" w:rsidRDefault="007515BC" w:rsidP="007363F7">
            <w:pPr>
              <w:pStyle w:val="Heading2"/>
              <w:keepNext w:val="0"/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Moderator, American Association of Law Schools (AALS) New Law Teachers Workshop, Washington, DC, June 7-9, 2018</w:t>
            </w:r>
          </w:p>
          <w:p w14:paraId="2B32940E" w14:textId="77777777" w:rsidR="007515BC" w:rsidRDefault="007515BC" w:rsidP="007363F7">
            <w:pPr>
              <w:pStyle w:val="Heading2"/>
              <w:keepNext w:val="0"/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216C912D" w14:textId="77777777" w:rsidR="00805309" w:rsidRPr="004D0BFE" w:rsidRDefault="00805309" w:rsidP="007363F7">
            <w:pPr>
              <w:pStyle w:val="Heading2"/>
              <w:keepNext w:val="0"/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D0BFE">
              <w:rPr>
                <w:rFonts w:asciiTheme="minorHAnsi" w:hAnsiTheme="minorHAnsi"/>
                <w:sz w:val="24"/>
                <w:szCs w:val="24"/>
              </w:rPr>
              <w:t xml:space="preserve">Presenter, </w:t>
            </w:r>
            <w:r>
              <w:rPr>
                <w:rFonts w:asciiTheme="minorHAnsi" w:hAnsiTheme="minorHAnsi"/>
                <w:sz w:val="24"/>
                <w:szCs w:val="24"/>
              </w:rPr>
              <w:t>“</w:t>
            </w:r>
            <w:r w:rsidRPr="004D0BFE">
              <w:rPr>
                <w:rFonts w:asciiTheme="minorHAnsi" w:eastAsia="Times New Roman" w:hAnsiTheme="minorHAnsi" w:cs="Times New Roman"/>
                <w:sz w:val="24"/>
                <w:szCs w:val="24"/>
              </w:rPr>
              <w:t>Entrepreneurship Initiatives in Poor Communities: Economic Inclusion or Exclusion,”</w:t>
            </w:r>
            <w:r w:rsidRPr="004D0BFE">
              <w:rPr>
                <w:rStyle w:val="Emphasis"/>
                <w:rFonts w:asciiTheme="minorHAnsi" w:eastAsia="Times New Roman" w:hAnsiTheme="minorHAnsi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Theme="minorHAnsi" w:eastAsia="Times New Roman" w:hAnsiTheme="minorHAnsi" w:cs="Times New Roman"/>
                <w:i w:val="0"/>
                <w:sz w:val="24"/>
                <w:szCs w:val="24"/>
              </w:rPr>
              <w:t xml:space="preserve">International Meeting on </w:t>
            </w:r>
            <w:r w:rsidRPr="004D0BFE">
              <w:rPr>
                <w:rFonts w:asciiTheme="minorHAnsi" w:hAnsiTheme="minorHAnsi"/>
                <w:sz w:val="24"/>
                <w:szCs w:val="24"/>
              </w:rPr>
              <w:t xml:space="preserve">Law and Society, Mexico City, Mexico, June 22-26, 2017 </w:t>
            </w:r>
          </w:p>
          <w:p w14:paraId="5D0A2B56" w14:textId="77777777" w:rsidR="00805309" w:rsidRPr="00202022" w:rsidRDefault="00805309" w:rsidP="007363F7">
            <w:pPr>
              <w:pStyle w:val="BodyText"/>
              <w:keepLines/>
              <w:widowControl w:val="0"/>
              <w:spacing w:after="0"/>
            </w:pPr>
          </w:p>
          <w:p w14:paraId="6A2D60B9" w14:textId="77777777" w:rsidR="00805309" w:rsidRDefault="00805309" w:rsidP="007363F7">
            <w:pPr>
              <w:pStyle w:val="Heading2"/>
              <w:keepNext w:val="0"/>
              <w:widowControl w:val="0"/>
              <w:rPr>
                <w:rFonts w:cs="Helvetica"/>
                <w:sz w:val="24"/>
                <w:szCs w:val="24"/>
              </w:rPr>
            </w:pPr>
            <w:r w:rsidRPr="00202022">
              <w:rPr>
                <w:rFonts w:ascii="Garamond" w:hAnsi="Garamond"/>
                <w:sz w:val="24"/>
                <w:szCs w:val="24"/>
              </w:rPr>
              <w:t>Co-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Convenor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844C9B">
              <w:rPr>
                <w:rFonts w:asciiTheme="minorHAnsi" w:hAnsiTheme="minorHAnsi" w:cs="Helvetica"/>
                <w:sz w:val="24"/>
                <w:szCs w:val="24"/>
              </w:rPr>
              <w:t xml:space="preserve">"Reducing Achievement Gaps in Science, Technology, Engineering and Mathematics (STEM): Promising International Research, Policies and </w:t>
            </w:r>
            <w:r>
              <w:rPr>
                <w:rFonts w:cs="Helvetica"/>
                <w:sz w:val="24"/>
                <w:szCs w:val="24"/>
              </w:rPr>
              <w:t xml:space="preserve">Practices Conference," sponsored by Georgia Tech University and National Science Foundation (NSF), Arlington, VA, May 22-23, 2017 </w:t>
            </w:r>
          </w:p>
          <w:p w14:paraId="69E49B48" w14:textId="77777777" w:rsidR="00805309" w:rsidRPr="00202022" w:rsidRDefault="00805309" w:rsidP="007363F7">
            <w:pPr>
              <w:pStyle w:val="BodyText"/>
              <w:keepLines/>
              <w:widowControl w:val="0"/>
              <w:spacing w:after="0"/>
            </w:pPr>
          </w:p>
          <w:p w14:paraId="0225FF96" w14:textId="77777777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Presenter, “Judging the Public Benefit Corporation,” Conference on</w:t>
            </w:r>
            <w:r w:rsidRPr="003B3270">
              <w:rPr>
                <w:rFonts w:ascii="Garamond" w:hAnsi="Garamond"/>
                <w:i/>
              </w:rPr>
              <w:t xml:space="preserve"> </w:t>
            </w:r>
            <w:r w:rsidRPr="003B3270">
              <w:rPr>
                <w:rFonts w:ascii="Garamond" w:hAnsi="Garamond"/>
                <w:smallCaps/>
              </w:rPr>
              <w:t xml:space="preserve">The </w:t>
            </w:r>
            <w:r>
              <w:rPr>
                <w:rFonts w:ascii="Garamond" w:hAnsi="Garamond"/>
                <w:smallCaps/>
              </w:rPr>
              <w:t xml:space="preserve">Cambridge Handbook of </w:t>
            </w:r>
            <w:r w:rsidRPr="003B3270">
              <w:rPr>
                <w:rFonts w:ascii="Garamond" w:hAnsi="Garamond"/>
                <w:smallCaps/>
              </w:rPr>
              <w:t>Social Enterprise Law</w:t>
            </w:r>
            <w:r>
              <w:rPr>
                <w:rFonts w:ascii="Garamond" w:hAnsi="Garamond"/>
              </w:rPr>
              <w:t xml:space="preserve">, Notre Dame Law School, South Bend, Indiana, March 3-4, 2017 </w:t>
            </w:r>
          </w:p>
          <w:p w14:paraId="06CADC96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2F7D17B9" w14:textId="77777777" w:rsidR="00805309" w:rsidRPr="000C25A4" w:rsidRDefault="00805309" w:rsidP="007363F7">
            <w:pPr>
              <w:keepLines/>
              <w:widowControl w:val="0"/>
              <w:rPr>
                <w:rFonts w:asciiTheme="minorHAnsi" w:hAnsiTheme="minorHAnsi"/>
              </w:rPr>
            </w:pPr>
            <w:r>
              <w:rPr>
                <w:rFonts w:ascii="Garamond" w:hAnsi="Garamond"/>
              </w:rPr>
              <w:t>Participant,</w:t>
            </w:r>
            <w:r w:rsidRPr="00235635">
              <w:rPr>
                <w:rFonts w:ascii="Garamond" w:hAnsi="Garamond"/>
              </w:rPr>
              <w:t xml:space="preserve"> University of California-Irvine School of Law Summit</w:t>
            </w:r>
            <w:r w:rsidRPr="000C25A4">
              <w:rPr>
                <w:rFonts w:asciiTheme="minorHAnsi" w:hAnsiTheme="minorHAnsi"/>
              </w:rPr>
              <w:t>,</w:t>
            </w:r>
            <w:r w:rsidRPr="000C25A4">
              <w:rPr>
                <w:rFonts w:asciiTheme="minorHAnsi" w:eastAsia="Times New Roman" w:hAnsiTheme="minorHAnsi"/>
              </w:rPr>
              <w:t xml:space="preserve"> “The Complexities and Opportunities: Achieving Diversity, Equity and Inclusion in Law Schools and the Legal Profession,”</w:t>
            </w:r>
            <w:r w:rsidRPr="000C25A4">
              <w:rPr>
                <w:rFonts w:asciiTheme="minorHAnsi" w:hAnsiTheme="minorHAnsi"/>
              </w:rPr>
              <w:t xml:space="preserve"> Irvine, CA, October 9-10, 2016</w:t>
            </w:r>
          </w:p>
          <w:p w14:paraId="4A73BC32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5507A2A7" w14:textId="77777777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 xml:space="preserve">Discussant, </w:t>
            </w:r>
            <w:r>
              <w:rPr>
                <w:rFonts w:ascii="Garamond" w:hAnsi="Garamond"/>
              </w:rPr>
              <w:t>“Small Business Finance</w:t>
            </w:r>
            <w:r w:rsidRPr="00235635">
              <w:rPr>
                <w:rFonts w:ascii="Garamond" w:hAnsi="Garamond"/>
              </w:rPr>
              <w:t xml:space="preserve">,” </w:t>
            </w:r>
            <w:r w:rsidRPr="00235635">
              <w:rPr>
                <w:rFonts w:ascii="Garamond" w:hAnsi="Garamond"/>
                <w:iCs/>
                <w:color w:val="000000"/>
              </w:rPr>
              <w:t>Southeastern Association of Law Schools (</w:t>
            </w:r>
            <w:r w:rsidRPr="00235635">
              <w:rPr>
                <w:rFonts w:ascii="Garamond" w:hAnsi="Garamond"/>
              </w:rPr>
              <w:t>SEALS) Annual Conference</w:t>
            </w:r>
            <w:r>
              <w:rPr>
                <w:rFonts w:ascii="Garamond" w:hAnsi="Garamond"/>
              </w:rPr>
              <w:t>, Amelia Island, FL, August 9, 2016</w:t>
            </w:r>
          </w:p>
          <w:p w14:paraId="20F7CE5D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5DB49CA0" w14:textId="77777777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Panelist</w:t>
            </w:r>
            <w:r w:rsidRPr="00235635">
              <w:rPr>
                <w:rFonts w:ascii="Garamond" w:hAnsi="Garamond"/>
              </w:rPr>
              <w:t>, “</w:t>
            </w:r>
            <w:r>
              <w:rPr>
                <w:rFonts w:ascii="Garamond" w:hAnsi="Garamond"/>
              </w:rPr>
              <w:t>Campus Climate</w:t>
            </w:r>
            <w:r w:rsidRPr="00235635">
              <w:rPr>
                <w:rFonts w:ascii="Garamond" w:hAnsi="Garamond"/>
              </w:rPr>
              <w:t>,” Carolin</w:t>
            </w:r>
            <w:r>
              <w:rPr>
                <w:rFonts w:ascii="Garamond" w:hAnsi="Garamond"/>
              </w:rPr>
              <w:t xml:space="preserve">a Advising Corps Advisor Summit, </w:t>
            </w:r>
            <w:r w:rsidRPr="00235635">
              <w:rPr>
                <w:rFonts w:ascii="Garamond" w:hAnsi="Garamond"/>
              </w:rPr>
              <w:t>North</w:t>
            </w:r>
            <w:r>
              <w:rPr>
                <w:rFonts w:ascii="Garamond" w:hAnsi="Garamond"/>
              </w:rPr>
              <w:t xml:space="preserve"> Carolina State University, Raleigh, NC July 26, 2016</w:t>
            </w:r>
          </w:p>
          <w:p w14:paraId="74E993F8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3FDE75DF" w14:textId="77777777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Keynote Speaker, </w:t>
            </w:r>
            <w:r>
              <w:rPr>
                <w:rFonts w:ascii="Garamond" w:hAnsi="Garamond"/>
                <w:i/>
              </w:rPr>
              <w:t>Tenacious Education</w:t>
            </w:r>
            <w:r w:rsidRPr="002029D6">
              <w:rPr>
                <w:rFonts w:ascii="Garamond" w:hAnsi="Garamond"/>
                <w:i/>
              </w:rPr>
              <w:t xml:space="preserve"> in Pursuit of Equity</w:t>
            </w:r>
            <w:r>
              <w:rPr>
                <w:rFonts w:ascii="Garamond" w:hAnsi="Garamond"/>
              </w:rPr>
              <w:t>, 31</w:t>
            </w:r>
            <w:r w:rsidRPr="002029D6">
              <w:rPr>
                <w:rFonts w:ascii="Garamond" w:hAnsi="Garamond"/>
                <w:vertAlign w:val="superscript"/>
              </w:rPr>
              <w:t>st</w:t>
            </w:r>
            <w:r>
              <w:rPr>
                <w:rFonts w:ascii="Garamond" w:hAnsi="Garamond"/>
              </w:rPr>
              <w:t xml:space="preserve"> Annual Conference of the METCO Directors’ Association, Norwood, MA, December 4, 2015</w:t>
            </w:r>
          </w:p>
          <w:p w14:paraId="545CD1B0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07E53970" w14:textId="77777777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 xml:space="preserve">Presenter, “Social Capital and Higher Education Access,” Carolina Advising Corps, University of North Carolina at Chapel Hill, Chapel Hill, NC June 29, 2015 </w:t>
            </w:r>
          </w:p>
          <w:p w14:paraId="7FD931C2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4A56E8E5" w14:textId="77777777" w:rsidR="00805309" w:rsidRPr="00235635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Commencement Speaker, Seaford High School, Seaford, DE, June 5, 2015</w:t>
            </w:r>
          </w:p>
          <w:p w14:paraId="03317821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1BDA42C9" w14:textId="77777777" w:rsidR="00805309" w:rsidRPr="00235635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lastRenderedPageBreak/>
              <w:t xml:space="preserve">Presenter, “Delaware’s Global Threat,” National Business Law Scholar’s Conference, Seton Hall University School of Law, Newark, NJ June 4, 2015 </w:t>
            </w:r>
          </w:p>
          <w:p w14:paraId="1F40E6BA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17E01F8D" w14:textId="77777777" w:rsidR="00805309" w:rsidRPr="00235635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Presenter, “College 101,” Partnership Village Transitional Housing Program, Greensboro, NC, May 26, 2015</w:t>
            </w:r>
          </w:p>
          <w:p w14:paraId="0C271D9F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53A8157B" w14:textId="77777777" w:rsidR="00805309" w:rsidRPr="00235635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Commentator, Law and Entrepreneurship Conference Annual Retreat, University of Georgia Law School, March 21, 2015</w:t>
            </w:r>
          </w:p>
          <w:p w14:paraId="724CFCC7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0E8A4A1E" w14:textId="77777777" w:rsidR="00805309" w:rsidRPr="00235635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Presenter, “Delaware’s Global Threat,” Wake Forest University School of Law, Winston-Salem, NC March 19, 2015</w:t>
            </w:r>
          </w:p>
          <w:p w14:paraId="6A4A230F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392FDF33" w14:textId="77777777" w:rsidR="00805309" w:rsidRPr="00235635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 xml:space="preserve">Presenter, “Delaware’s Global Threat,” Washington &amp; Lee School of Law, Lexington, VA February 9, 2015 </w:t>
            </w:r>
          </w:p>
          <w:p w14:paraId="7C927ED1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1B180938" w14:textId="77777777" w:rsidR="00805309" w:rsidRPr="00235635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Panelist, “More Than Big Law: Navigating the Non-Corporate Career Path,” 27</w:t>
            </w:r>
            <w:r w:rsidRPr="00235635">
              <w:rPr>
                <w:rFonts w:ascii="Garamond" w:hAnsi="Garamond"/>
                <w:vertAlign w:val="superscript"/>
              </w:rPr>
              <w:t>th</w:t>
            </w:r>
            <w:r w:rsidRPr="00235635">
              <w:rPr>
                <w:rFonts w:ascii="Garamond" w:hAnsi="Garamond"/>
              </w:rPr>
              <w:t xml:space="preserve"> Annual Sadie T.M. Alexander Commemorative Conference, University of Pennsylvania Law School, January 26, 2015</w:t>
            </w:r>
          </w:p>
          <w:p w14:paraId="04267566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52728B8B" w14:textId="77777777" w:rsidR="00805309" w:rsidRPr="00235635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Presenter, University of California-Irvine School of Law Summit,</w:t>
            </w:r>
            <w:r w:rsidRPr="00235635">
              <w:rPr>
                <w:rFonts w:eastAsia="Times New Roman"/>
              </w:rPr>
              <w:t xml:space="preserve"> “Renewing the Search for The Faces at the Bottom of the Well,”</w:t>
            </w:r>
            <w:r w:rsidRPr="00235635">
              <w:rPr>
                <w:rFonts w:ascii="Garamond" w:hAnsi="Garamond"/>
              </w:rPr>
              <w:t xml:space="preserve"> Irvine, CA October 5-6, 2014 </w:t>
            </w:r>
          </w:p>
          <w:p w14:paraId="0F6023E6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764DDE35" w14:textId="77777777" w:rsidR="00805309" w:rsidRPr="00235635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 xml:space="preserve">Discussant, “Corporate Compliance,” </w:t>
            </w:r>
            <w:r w:rsidRPr="00235635">
              <w:rPr>
                <w:rFonts w:ascii="Garamond" w:hAnsi="Garamond"/>
                <w:iCs/>
                <w:color w:val="000000"/>
              </w:rPr>
              <w:t>Southeastern Association of Law Schools (</w:t>
            </w:r>
            <w:r w:rsidRPr="00235635">
              <w:rPr>
                <w:rFonts w:ascii="Garamond" w:hAnsi="Garamond"/>
              </w:rPr>
              <w:t xml:space="preserve">SEALS) Annual Conference, Amelia Island, FL, August 2014 </w:t>
            </w:r>
          </w:p>
          <w:p w14:paraId="2452852D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0CCBD4CF" w14:textId="3573C8FB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 xml:space="preserve">Discussant, “What is the Role of Trust in the </w:t>
            </w:r>
            <w:proofErr w:type="gramStart"/>
            <w:r w:rsidRPr="00235635">
              <w:rPr>
                <w:rFonts w:ascii="Garamond" w:hAnsi="Garamond"/>
              </w:rPr>
              <w:t>Marketplace?,</w:t>
            </w:r>
            <w:proofErr w:type="gramEnd"/>
            <w:r w:rsidRPr="00235635">
              <w:rPr>
                <w:rFonts w:ascii="Garamond" w:hAnsi="Garamond"/>
              </w:rPr>
              <w:t xml:space="preserve">” </w:t>
            </w:r>
            <w:r w:rsidRPr="00235635">
              <w:rPr>
                <w:rFonts w:ascii="Garamond" w:hAnsi="Garamond"/>
                <w:iCs/>
                <w:color w:val="000000"/>
              </w:rPr>
              <w:t>Southeastern Association of Law Schools (</w:t>
            </w:r>
            <w:r w:rsidRPr="00235635">
              <w:rPr>
                <w:rFonts w:ascii="Garamond" w:hAnsi="Garamond"/>
              </w:rPr>
              <w:t>SEALS) Annual Conference, Amelia Island, FL, August 2014</w:t>
            </w:r>
          </w:p>
          <w:p w14:paraId="35F226D1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02AFCB4A" w14:textId="68C5D6C2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Presenter, “Social Capital,” National Association of College Admissions Counselors (NACAC), Charlotte, NC</w:t>
            </w:r>
            <w:r w:rsidR="00A81AC3">
              <w:rPr>
                <w:rFonts w:ascii="Garamond" w:hAnsi="Garamond"/>
              </w:rPr>
              <w:t>,</w:t>
            </w:r>
            <w:r w:rsidRPr="00235635">
              <w:rPr>
                <w:rFonts w:ascii="Garamond" w:hAnsi="Garamond"/>
              </w:rPr>
              <w:t xml:space="preserve"> May 28, 2014 </w:t>
            </w:r>
          </w:p>
          <w:p w14:paraId="01EB5B38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55D11263" w14:textId="3D171BCE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Presenter, “Muted Deterrence: The Enhanced Attribution of Tort Liability to U.S. Higher Education Institutions for Student Safety,” Australian Torts Forum, University of Sydney Law School, December 14, 2013</w:t>
            </w:r>
          </w:p>
          <w:p w14:paraId="3A928AFA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50BB4185" w14:textId="22EA5AD6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Discussant, “The Future of Fiduciary Duties</w:t>
            </w:r>
            <w:r w:rsidRPr="00235635">
              <w:rPr>
                <w:rFonts w:ascii="Garamond" w:hAnsi="Garamond"/>
                <w:iCs/>
                <w:color w:val="000000"/>
              </w:rPr>
              <w:t>,”</w:t>
            </w:r>
            <w:r w:rsidRPr="00235635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235635">
              <w:rPr>
                <w:rFonts w:ascii="Garamond" w:hAnsi="Garamond"/>
                <w:iCs/>
                <w:color w:val="000000"/>
              </w:rPr>
              <w:t>Southeastern Association of Law Schools (</w:t>
            </w:r>
            <w:r w:rsidRPr="00235635">
              <w:rPr>
                <w:rFonts w:ascii="Garamond" w:hAnsi="Garamond"/>
              </w:rPr>
              <w:t>SEALS) Annual Conference, Palm Beach, FL, August 9, 2013</w:t>
            </w:r>
          </w:p>
          <w:p w14:paraId="13AB7832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3ACD7830" w14:textId="342ECF56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 xml:space="preserve">Presenter, “For-Profits and the Market Paradox,” University of South Carolina Law School, Columbia, SC, March 5, 2013 </w:t>
            </w:r>
          </w:p>
          <w:p w14:paraId="02D4E06D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7788A05A" w14:textId="3BB26255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 xml:space="preserve">Presenter, “Class Dismissed,” American University, Washington College of Law, Washington, D.C., February 15, 2013 </w:t>
            </w:r>
          </w:p>
          <w:p w14:paraId="45731B37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4F7C9182" w14:textId="6BE7F0A2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 xml:space="preserve">Symposium Organizer/Presenter, “For-Profits,” Wake Forest University Law School Symposium, “Privatizing the Public Good:  Emerging Trends in K-16 Education.” Winston-Salem, NC, October 26, 2012 </w:t>
            </w:r>
          </w:p>
          <w:p w14:paraId="3C076705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78E708F5" w14:textId="03080183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 xml:space="preserve">Keynote Speaker, “Imagine the Possibilities: Legal as a Strategic Partner,” Bridgeway </w:t>
            </w:r>
            <w:proofErr w:type="spellStart"/>
            <w:r w:rsidRPr="00235635">
              <w:rPr>
                <w:rFonts w:ascii="Garamond" w:hAnsi="Garamond"/>
              </w:rPr>
              <w:t>CustomerConnect</w:t>
            </w:r>
            <w:proofErr w:type="spellEnd"/>
            <w:r w:rsidRPr="00235635">
              <w:rPr>
                <w:rFonts w:ascii="Garamond" w:hAnsi="Garamond"/>
              </w:rPr>
              <w:t xml:space="preserve"> Live! Conference, Orlando, FL, October 23, 2012 </w:t>
            </w:r>
          </w:p>
          <w:p w14:paraId="652EB822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524F8BF3" w14:textId="4C5ADD60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lastRenderedPageBreak/>
              <w:t>Panel Organizer/Presenter, “Higher Education Access for America’s Vulnerable Students,” National Association of College Admissions Counselors (NACAC) Annual Meeting, Denver, CO, October 6, 2012</w:t>
            </w:r>
          </w:p>
          <w:p w14:paraId="54EB815E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50B8C750" w14:textId="69CED6A7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Presenter, American Education Research Association (AERA) Research Conference “Access, Competition, and For-Profit Colleges,” co-sponsored by The Research Network on Racial &amp; Ethnic Inequality, Terry Sanford Institute, Duke University, Durham, NC, September 21-22, 2012</w:t>
            </w:r>
          </w:p>
          <w:p w14:paraId="3F0DA6E6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5BC32054" w14:textId="09C8A46B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 xml:space="preserve">Presenter, “Information is Power:  Executive Compensation Disclosures in the Wake of the Financial Crisis,” </w:t>
            </w:r>
            <w:r w:rsidRPr="00235635">
              <w:rPr>
                <w:rFonts w:ascii="Garamond" w:hAnsi="Garamond"/>
                <w:iCs/>
                <w:color w:val="000000"/>
              </w:rPr>
              <w:t>Southeastern Association of Law Schools (</w:t>
            </w:r>
            <w:r w:rsidRPr="00235635">
              <w:rPr>
                <w:rFonts w:ascii="Garamond" w:hAnsi="Garamond"/>
              </w:rPr>
              <w:t xml:space="preserve">SEALS) Annual Meeting, Amelia Island, FL, August 3, 2012 </w:t>
            </w:r>
          </w:p>
          <w:p w14:paraId="71584EB2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67BC0F4E" w14:textId="63CFFAD9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 xml:space="preserve">Presenter, “Class Dismissed: Higher Education Access and Socio-Economic Status” Law and Society Association Annual Meeting, Honolulu, HI, June 7, 2012 </w:t>
            </w:r>
          </w:p>
          <w:p w14:paraId="3CD73E29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34A4068B" w14:textId="287870E1" w:rsidR="00805309" w:rsidRDefault="00805309" w:rsidP="007363F7">
            <w:pPr>
              <w:pStyle w:val="Default"/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 xml:space="preserve">Presenter, “The Corporate Immune System: Governing from the Inside-Out,” University of Illinois School of Law Symposium “In the Boardroom: Corporate Governance Reform Meets the Real World,” Champaign, IL, March 8-9, 2012 </w:t>
            </w:r>
          </w:p>
          <w:p w14:paraId="2F8F343E" w14:textId="77777777" w:rsidR="00805309" w:rsidRPr="00805309" w:rsidRDefault="00805309" w:rsidP="007363F7">
            <w:pPr>
              <w:pStyle w:val="Default"/>
              <w:keepLines/>
              <w:widowControl w:val="0"/>
              <w:rPr>
                <w:rFonts w:ascii="Garamond" w:hAnsi="Garamond"/>
                <w:sz w:val="20"/>
                <w:szCs w:val="20"/>
              </w:rPr>
            </w:pPr>
          </w:p>
          <w:p w14:paraId="139BC8DB" w14:textId="23D3F376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Panelist, “Social Capital and the Law,”</w:t>
            </w:r>
            <w:r w:rsidRPr="00235635">
              <w:rPr>
                <w:rFonts w:ascii="Garamond" w:hAnsi="Garamond"/>
                <w:iCs/>
                <w:color w:val="000000"/>
              </w:rPr>
              <w:t xml:space="preserve"> Southeastern Association of Law Schools (</w:t>
            </w:r>
            <w:r w:rsidRPr="00235635">
              <w:rPr>
                <w:rFonts w:ascii="Garamond" w:hAnsi="Garamond"/>
              </w:rPr>
              <w:t>SEALS) Annual Meeting, Hilton Head, SC, July 27, 2011</w:t>
            </w:r>
          </w:p>
          <w:p w14:paraId="152FAD8B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5F867ED3" w14:textId="61215F66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Presenter, “Lost in Transition:  The Implications of Social Capital for Higher Education Access,” Carolina College Advising Corps, University of North Carolina at Chapel Hill, Office of Undergraduate Admissions, Chapel Hill, NC, July 18, 2011</w:t>
            </w:r>
          </w:p>
          <w:p w14:paraId="5855A4D8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45BC448F" w14:textId="68A1D5AC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Presenter, “Lost in Transition:  The Implications of Social Capital for Higher Education Access,” Law and Society Association Annual Meeting, San Francisco, CA, June 4, 2011</w:t>
            </w:r>
          </w:p>
          <w:p w14:paraId="238F1435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629F0EF8" w14:textId="4306FE3C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Presenter, “The Higher Education Access Pattern,” IHELG Houston Higher Education Law Roundtable, University of Houston Law Center, Houston, Texas, May 18-20, 2011</w:t>
            </w:r>
          </w:p>
          <w:p w14:paraId="7E541A7C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0B0E24F3" w14:textId="7B890D51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 xml:space="preserve">Participant, Secondary School Working Group, U.S. Department of Education, Presider, Greg </w:t>
            </w:r>
            <w:proofErr w:type="spellStart"/>
            <w:r w:rsidRPr="00235635">
              <w:rPr>
                <w:rFonts w:ascii="Garamond" w:hAnsi="Garamond"/>
              </w:rPr>
              <w:t>Darnieder</w:t>
            </w:r>
            <w:proofErr w:type="spellEnd"/>
            <w:r w:rsidRPr="00235635">
              <w:rPr>
                <w:rFonts w:ascii="Garamond" w:hAnsi="Garamond"/>
              </w:rPr>
              <w:t>, Senior Advisor to the Secretary on the College Access Initiative, Washington, D.C., May 2, 2011</w:t>
            </w:r>
          </w:p>
          <w:p w14:paraId="53D0C972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38AC447C" w14:textId="0BCCFF59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 xml:space="preserve">Presenter, </w:t>
            </w:r>
            <w:proofErr w:type="spellStart"/>
            <w:r w:rsidRPr="00235635">
              <w:rPr>
                <w:rFonts w:ascii="Garamond" w:hAnsi="Garamond"/>
              </w:rPr>
              <w:t>Ass’n</w:t>
            </w:r>
            <w:proofErr w:type="spellEnd"/>
            <w:r w:rsidRPr="00235635">
              <w:rPr>
                <w:rFonts w:ascii="Garamond" w:hAnsi="Garamond"/>
              </w:rPr>
              <w:t xml:space="preserve"> of Corporate Counsel of Eastern North Carolina and North Carolina Bar </w:t>
            </w:r>
            <w:proofErr w:type="spellStart"/>
            <w:r w:rsidRPr="00235635">
              <w:rPr>
                <w:rFonts w:ascii="Garamond" w:hAnsi="Garamond"/>
              </w:rPr>
              <w:t>Ass’n</w:t>
            </w:r>
            <w:proofErr w:type="spellEnd"/>
            <w:r w:rsidRPr="00235635">
              <w:rPr>
                <w:rFonts w:ascii="Garamond" w:hAnsi="Garamond"/>
              </w:rPr>
              <w:t xml:space="preserve"> CLE, Raleigh, NC, April 26, 2011</w:t>
            </w:r>
          </w:p>
          <w:p w14:paraId="526CA025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43CC2A74" w14:textId="2C4888BB" w:rsidR="00805309" w:rsidRDefault="00805309" w:rsidP="007363F7">
            <w:pPr>
              <w:keepLines/>
              <w:widowControl w:val="0"/>
              <w:rPr>
                <w:rFonts w:ascii="Garamond" w:hAnsi="Garamond"/>
                <w:iCs/>
              </w:rPr>
            </w:pPr>
            <w:r w:rsidRPr="00235635">
              <w:rPr>
                <w:rFonts w:ascii="Garamond" w:hAnsi="Garamond"/>
              </w:rPr>
              <w:t>Moderator, “</w:t>
            </w:r>
            <w:r w:rsidRPr="00235635">
              <w:rPr>
                <w:rFonts w:ascii="Garamond" w:hAnsi="Garamond"/>
                <w:iCs/>
              </w:rPr>
              <w:t>Losing to Win: Race and Intercollegiate Athletics,” Wake Forest University, Winston-Salem, NC, April 13-14, 2011</w:t>
            </w:r>
          </w:p>
          <w:p w14:paraId="75B226E0" w14:textId="77777777" w:rsidR="00805309" w:rsidRPr="00235635" w:rsidRDefault="00805309" w:rsidP="007363F7">
            <w:pPr>
              <w:keepLines/>
              <w:widowControl w:val="0"/>
              <w:rPr>
                <w:rFonts w:ascii="Garamond" w:hAnsi="Garamond"/>
                <w:iCs/>
              </w:rPr>
            </w:pPr>
          </w:p>
          <w:p w14:paraId="0A858314" w14:textId="4E8A6160" w:rsidR="00805309" w:rsidRDefault="00805309" w:rsidP="007363F7">
            <w:pPr>
              <w:keepLines/>
              <w:widowControl w:val="0"/>
              <w:rPr>
                <w:rFonts w:ascii="Garamond" w:hAnsi="Garamond"/>
                <w:iCs/>
              </w:rPr>
            </w:pPr>
            <w:r w:rsidRPr="00235635">
              <w:rPr>
                <w:rFonts w:ascii="Garamond" w:hAnsi="Garamond"/>
                <w:iCs/>
              </w:rPr>
              <w:t>Discussant, George Washington Center for Corporate Law, Economics, and Finance (C-LEAF) Junior Faculty Workshop, Washington, DC, April 1-2, 2011</w:t>
            </w:r>
          </w:p>
          <w:p w14:paraId="2DC67F69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3F024F10" w14:textId="3312A953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 xml:space="preserve">Presenter, “The Implications of Social Capital on Higher Education Access,” Thursday’s at Starling Hall Speaker Series, Wake Forest University, Winston-Salem, NC, October 7, 2010 </w:t>
            </w:r>
          </w:p>
          <w:p w14:paraId="6DF6A83F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569FE683" w14:textId="2AA16396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Panelist, “Race and Public Education,” Third Annual National People of Color Legal Scholarship Conference, Seton Hall Law School, Newark, NJ, September 11, 2010</w:t>
            </w:r>
          </w:p>
          <w:p w14:paraId="0C763E26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4F5B174A" w14:textId="1A4F3C2E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lastRenderedPageBreak/>
              <w:t xml:space="preserve">Panelist, “Executive Compensation in Recessionary Times,” </w:t>
            </w:r>
            <w:r w:rsidRPr="00235635">
              <w:rPr>
                <w:rFonts w:ascii="Garamond" w:hAnsi="Garamond"/>
                <w:iCs/>
                <w:color w:val="000000"/>
              </w:rPr>
              <w:t>Southeastern Association of Law Schools (</w:t>
            </w:r>
            <w:r w:rsidRPr="00235635">
              <w:rPr>
                <w:rFonts w:ascii="Garamond" w:hAnsi="Garamond"/>
              </w:rPr>
              <w:t xml:space="preserve">SEALS) Annual Meeting, Employee Benefits Mini-Workshop, Palm Beach, FL, August 3, 2010 </w:t>
            </w:r>
          </w:p>
          <w:p w14:paraId="6CC47F15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74995AB4" w14:textId="494C48AE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Panelist, “Biggest Triumphs, Biggest Mistakes,” 2010 Association of American Law Schools (AALS) Workshop for New Law Teachers, Washington, DC, June 17-19, 2010</w:t>
            </w:r>
          </w:p>
          <w:p w14:paraId="0E8D2563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3A39B004" w14:textId="57E00933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 xml:space="preserve">Presenter, “Innkeepers:  The Elusive Theory of In-House Counsel,” Wake Forest University School of Law, Faculty Development Speaker Series, Winston-Salem, NC, April 29, 2010 </w:t>
            </w:r>
          </w:p>
          <w:p w14:paraId="48CDD93F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52225069" w14:textId="1C14190F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Presenter, “Innkeepers:  The Elusive Theory of In-House Counsel,” William and Mary Law School, Williamsburg, VA, April 2, 2010</w:t>
            </w:r>
          </w:p>
          <w:p w14:paraId="4A121FC0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0973A683" w14:textId="3458F7A5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Presenter, “The Implications of Social Capital on the Higher Education Access Debate,” Universit</w:t>
            </w:r>
            <w:r>
              <w:rPr>
                <w:rFonts w:ascii="Garamond" w:hAnsi="Garamond"/>
              </w:rPr>
              <w:t>y of South Carolina Law School,</w:t>
            </w:r>
            <w:r w:rsidRPr="00235635">
              <w:rPr>
                <w:rFonts w:ascii="Garamond" w:hAnsi="Garamond"/>
              </w:rPr>
              <w:t xml:space="preserve"> Southeast/Southwest People of Color Conference, Columbia, SC, March 26, 2010</w:t>
            </w:r>
          </w:p>
          <w:p w14:paraId="54214830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szCs w:val="20"/>
              </w:rPr>
            </w:pPr>
          </w:p>
          <w:p w14:paraId="34C7A550" w14:textId="1BDB2BB6" w:rsidR="0080530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Presenter, “</w:t>
            </w:r>
            <w:r w:rsidRPr="00235635">
              <w:rPr>
                <w:rFonts w:ascii="Garamond" w:hAnsi="Garamond"/>
                <w:iCs/>
                <w:color w:val="000000"/>
              </w:rPr>
              <w:t>The Elusive Theory of In-house Counsel,”</w:t>
            </w:r>
            <w:r w:rsidRPr="00235635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235635">
              <w:rPr>
                <w:rFonts w:ascii="Garamond" w:hAnsi="Garamond"/>
                <w:iCs/>
                <w:color w:val="000000"/>
              </w:rPr>
              <w:t>Southeastern Association of Law Schools (</w:t>
            </w:r>
            <w:r w:rsidRPr="00235635">
              <w:rPr>
                <w:rFonts w:ascii="Garamond" w:hAnsi="Garamond"/>
              </w:rPr>
              <w:t>SEALS) Corporate Roundtable Workshop, Palm Beach, FL, August 5, 2009</w:t>
            </w:r>
          </w:p>
          <w:p w14:paraId="4228A987" w14:textId="77777777" w:rsidR="00805309" w:rsidRPr="00805309" w:rsidRDefault="00805309" w:rsidP="007363F7">
            <w:pPr>
              <w:keepLines/>
              <w:widowControl w:val="0"/>
              <w:rPr>
                <w:rFonts w:ascii="Garamond" w:hAnsi="Garamond"/>
                <w:i/>
                <w:iCs/>
                <w:color w:val="000000"/>
                <w:szCs w:val="20"/>
              </w:rPr>
            </w:pPr>
          </w:p>
          <w:p w14:paraId="6A1DD0F7" w14:textId="77777777" w:rsidR="00805309" w:rsidRPr="00235635" w:rsidRDefault="00805309" w:rsidP="007363F7">
            <w:pPr>
              <w:pStyle w:val="NormalWeb"/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Presenter, “Corporate Reform as a Service,” Roundtable on Corporate Governance and Securities Law Responses to the Financial Crisis, University of Maryland School of Law, Baltimore, MD, April 17, 2009</w:t>
            </w:r>
          </w:p>
          <w:p w14:paraId="14E68AF2" w14:textId="77777777" w:rsidR="00805309" w:rsidRPr="00805309" w:rsidRDefault="00805309" w:rsidP="007363F7">
            <w:pPr>
              <w:pStyle w:val="NormalWeb"/>
              <w:keepLines/>
              <w:widowControl w:val="0"/>
              <w:rPr>
                <w:rFonts w:ascii="Garamond" w:hAnsi="Garamond"/>
                <w:sz w:val="20"/>
                <w:szCs w:val="20"/>
              </w:rPr>
            </w:pPr>
          </w:p>
          <w:p w14:paraId="6B6D1903" w14:textId="77777777" w:rsidR="00805309" w:rsidRPr="00235635" w:rsidRDefault="00805309" w:rsidP="007363F7">
            <w:pPr>
              <w:pStyle w:val="NormalWeb"/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Presenter, “Taking the Blue Pill:  Executive Pay, Politics, and the Credence Characteristics of Corporate Reform,” LSU Law Center Workshop, Baton Rouge, LA, October 30, 2008</w:t>
            </w:r>
          </w:p>
          <w:p w14:paraId="536583A5" w14:textId="77777777" w:rsidR="00805309" w:rsidRPr="00805309" w:rsidRDefault="00805309" w:rsidP="007363F7">
            <w:pPr>
              <w:pStyle w:val="NormalWeb"/>
              <w:keepLines/>
              <w:widowControl w:val="0"/>
              <w:rPr>
                <w:rFonts w:ascii="Garamond" w:hAnsi="Garamond"/>
                <w:sz w:val="20"/>
                <w:szCs w:val="20"/>
              </w:rPr>
            </w:pPr>
          </w:p>
          <w:p w14:paraId="78783F02" w14:textId="77777777" w:rsidR="00805309" w:rsidRPr="00235635" w:rsidRDefault="00805309" w:rsidP="007363F7">
            <w:pPr>
              <w:pStyle w:val="NormalWeb"/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Presenter, “Taking the Blue Pill:  Corporate Governance as a Credence Good,” Southeast/Southwest People of Color Conference, Durham, NC, April 12, 2008</w:t>
            </w:r>
          </w:p>
          <w:p w14:paraId="38162969" w14:textId="77777777" w:rsidR="00805309" w:rsidRPr="00805309" w:rsidRDefault="00805309" w:rsidP="007363F7">
            <w:pPr>
              <w:pStyle w:val="NormalWeb"/>
              <w:keepLines/>
              <w:widowControl w:val="0"/>
              <w:rPr>
                <w:rFonts w:ascii="Garamond" w:hAnsi="Garamond"/>
                <w:sz w:val="20"/>
                <w:szCs w:val="20"/>
              </w:rPr>
            </w:pPr>
          </w:p>
          <w:p w14:paraId="453F7A62" w14:textId="77777777" w:rsidR="00805309" w:rsidRPr="00235635" w:rsidRDefault="00805309" w:rsidP="007363F7">
            <w:pPr>
              <w:pStyle w:val="NormalWeb"/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Presenter, “Branding the Small Wonder: Delaware's Differentiation Advantage and the Market for Corporate Law,” Southeastern Association of Law Schools New Scholars Workshop, Amelia Island, FL, July 30, 2007</w:t>
            </w:r>
          </w:p>
          <w:p w14:paraId="2F46E841" w14:textId="77777777" w:rsidR="00805309" w:rsidRPr="00805309" w:rsidRDefault="00805309" w:rsidP="007363F7">
            <w:pPr>
              <w:pStyle w:val="NormalWeb"/>
              <w:keepLines/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  <w:p w14:paraId="4E48D99B" w14:textId="77777777" w:rsidR="00805309" w:rsidRPr="00235635" w:rsidRDefault="00805309" w:rsidP="007363F7">
            <w:pPr>
              <w:keepLines/>
              <w:widowControl w:val="0"/>
              <w:rPr>
                <w:rStyle w:val="Strong"/>
                <w:rFonts w:ascii="Garamond" w:hAnsi="Garamond"/>
                <w:b w:val="0"/>
                <w:bCs w:val="0"/>
              </w:rPr>
            </w:pPr>
            <w:r w:rsidRPr="00235635">
              <w:rPr>
                <w:rFonts w:ascii="Garamond" w:hAnsi="Garamond" w:cs="Garamond"/>
              </w:rPr>
              <w:t>Presenter, “</w:t>
            </w:r>
            <w:r w:rsidRPr="00235635">
              <w:rPr>
                <w:rFonts w:ascii="Garamond" w:hAnsi="Garamond"/>
              </w:rPr>
              <w:t xml:space="preserve">Reconsidering </w:t>
            </w:r>
            <w:r w:rsidRPr="00235635">
              <w:rPr>
                <w:rFonts w:ascii="Garamond" w:hAnsi="Garamond"/>
                <w:color w:val="000000"/>
              </w:rPr>
              <w:t xml:space="preserve">Extra-Legal Responses </w:t>
            </w:r>
            <w:proofErr w:type="gramStart"/>
            <w:r w:rsidRPr="00235635">
              <w:rPr>
                <w:rFonts w:ascii="Garamond" w:hAnsi="Garamond"/>
                <w:color w:val="000000"/>
              </w:rPr>
              <w:t>To</w:t>
            </w:r>
            <w:proofErr w:type="gramEnd"/>
            <w:r w:rsidRPr="00235635">
              <w:rPr>
                <w:rFonts w:ascii="Garamond" w:hAnsi="Garamond"/>
                <w:color w:val="000000"/>
              </w:rPr>
              <w:t xml:space="preserve"> Promote Academic Achievement and Access To Higher Education Among Underrepresented And Vulnerable Groups,” </w:t>
            </w:r>
            <w:r w:rsidRPr="00235635">
              <w:rPr>
                <w:rFonts w:ascii="Garamond" w:hAnsi="Garamond" w:cs="Garamond"/>
                <w:color w:val="000000"/>
              </w:rPr>
              <w:t>18</w:t>
            </w:r>
            <w:r w:rsidRPr="00235635">
              <w:rPr>
                <w:rFonts w:ascii="Garamond" w:hAnsi="Garamond" w:cs="Garamond"/>
                <w:color w:val="000000"/>
                <w:vertAlign w:val="superscript"/>
              </w:rPr>
              <w:t>th</w:t>
            </w:r>
            <w:r w:rsidRPr="00235635">
              <w:rPr>
                <w:rFonts w:ascii="Garamond" w:hAnsi="Garamond" w:cs="Garamond"/>
                <w:color w:val="000000"/>
              </w:rPr>
              <w:t xml:space="preserve"> Annual Sadie T.M. Alexander Commemorative Conference, “</w:t>
            </w:r>
            <w:r w:rsidRPr="00235635">
              <w:rPr>
                <w:rStyle w:val="Strong"/>
                <w:rFonts w:ascii="Garamond" w:hAnsi="Garamond"/>
                <w:b w:val="0"/>
                <w:color w:val="000000"/>
              </w:rPr>
              <w:t>Exploring Emerging Issues in Class Inequality,” University of Pennsylvania Law School, Philadelphia, PA, February 2006</w:t>
            </w:r>
          </w:p>
          <w:p w14:paraId="5BD100E6" w14:textId="77777777" w:rsidR="00805309" w:rsidRPr="00805309" w:rsidRDefault="00805309" w:rsidP="007363F7">
            <w:pPr>
              <w:keepLines/>
              <w:widowControl w:val="0"/>
              <w:ind w:right="720"/>
              <w:rPr>
                <w:rFonts w:ascii="Garamond" w:hAnsi="Garamond" w:cs="Garamond"/>
                <w:szCs w:val="20"/>
              </w:rPr>
            </w:pPr>
          </w:p>
          <w:p w14:paraId="7C1C5F7A" w14:textId="77777777" w:rsidR="00805309" w:rsidRPr="00235635" w:rsidRDefault="00805309" w:rsidP="007363F7">
            <w:pPr>
              <w:keepLines/>
              <w:widowControl w:val="0"/>
              <w:ind w:right="36"/>
              <w:rPr>
                <w:rFonts w:ascii="Garamond" w:hAnsi="Garamond" w:cs="Garamond"/>
              </w:rPr>
            </w:pPr>
            <w:r w:rsidRPr="00235635">
              <w:rPr>
                <w:rFonts w:ascii="Garamond" w:hAnsi="Garamond" w:cs="Garamond"/>
              </w:rPr>
              <w:t>Keynote Speaker, Delaware Department of Education, School Improvement Annual Awards Banquet, Dover, DE, May 2005</w:t>
            </w:r>
          </w:p>
          <w:p w14:paraId="6787C90C" w14:textId="77777777" w:rsidR="00805309" w:rsidRPr="00805309" w:rsidRDefault="00805309" w:rsidP="007363F7">
            <w:pPr>
              <w:keepLines/>
              <w:widowControl w:val="0"/>
              <w:ind w:right="36"/>
              <w:rPr>
                <w:rFonts w:ascii="Garamond" w:hAnsi="Garamond"/>
                <w:szCs w:val="20"/>
              </w:rPr>
            </w:pPr>
          </w:p>
          <w:p w14:paraId="5F38C9C4" w14:textId="77777777" w:rsidR="00805309" w:rsidRPr="00235635" w:rsidRDefault="00805309" w:rsidP="007363F7">
            <w:pPr>
              <w:keepLines/>
              <w:widowControl w:val="0"/>
              <w:ind w:right="36"/>
              <w:rPr>
                <w:rFonts w:ascii="Garamond" w:hAnsi="Garamond" w:cs="Garamond"/>
              </w:rPr>
            </w:pPr>
            <w:r w:rsidRPr="00235635">
              <w:rPr>
                <w:rFonts w:ascii="Garamond" w:hAnsi="Garamond" w:cs="Garamond"/>
              </w:rPr>
              <w:t>Keynote Speaker, Christina School District, Celebration of Mentors/Tutors Banquet, Wilmington, DE, May 2005</w:t>
            </w:r>
          </w:p>
          <w:p w14:paraId="20A16070" w14:textId="77777777" w:rsidR="00805309" w:rsidRPr="00805309" w:rsidRDefault="00805309" w:rsidP="007363F7">
            <w:pPr>
              <w:keepLines/>
              <w:widowControl w:val="0"/>
              <w:ind w:right="36"/>
              <w:rPr>
                <w:rFonts w:ascii="Garamond" w:hAnsi="Garamond"/>
                <w:szCs w:val="20"/>
              </w:rPr>
            </w:pPr>
          </w:p>
          <w:p w14:paraId="69FD624E" w14:textId="77777777" w:rsidR="00805309" w:rsidRPr="00235635" w:rsidRDefault="00805309" w:rsidP="007363F7">
            <w:pPr>
              <w:keepLines/>
              <w:widowControl w:val="0"/>
              <w:ind w:right="36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Keynote Speaker, Delaware State Parent Advisory Council 27</w:t>
            </w:r>
            <w:r w:rsidRPr="00235635">
              <w:rPr>
                <w:rFonts w:ascii="Garamond" w:hAnsi="Garamond"/>
                <w:vertAlign w:val="superscript"/>
              </w:rPr>
              <w:t>th</w:t>
            </w:r>
            <w:r w:rsidRPr="00235635">
              <w:rPr>
                <w:rFonts w:ascii="Garamond" w:hAnsi="Garamond"/>
              </w:rPr>
              <w:t xml:space="preserve"> Annual Parent Training Conference, Wilmington, DE, February 2005</w:t>
            </w:r>
          </w:p>
          <w:p w14:paraId="38B13E53" w14:textId="77777777" w:rsidR="00805309" w:rsidRPr="00805309" w:rsidRDefault="00805309" w:rsidP="007363F7">
            <w:pPr>
              <w:keepLines/>
              <w:widowControl w:val="0"/>
              <w:ind w:right="36"/>
              <w:rPr>
                <w:rFonts w:ascii="Garamond" w:hAnsi="Garamond"/>
                <w:szCs w:val="20"/>
              </w:rPr>
            </w:pPr>
          </w:p>
          <w:p w14:paraId="079A757A" w14:textId="2F60ABDF" w:rsidR="003F337A" w:rsidRPr="004447DE" w:rsidRDefault="00805309" w:rsidP="007363F7">
            <w:pPr>
              <w:keepLines/>
              <w:widowControl w:val="0"/>
              <w:ind w:right="36"/>
              <w:rPr>
                <w:rFonts w:ascii="Garamond" w:hAnsi="Garamond"/>
              </w:rPr>
            </w:pPr>
            <w:r w:rsidRPr="00235635">
              <w:rPr>
                <w:rFonts w:ascii="Garamond" w:hAnsi="Garamond"/>
              </w:rPr>
              <w:t>Panelist, Charting Your Own Course Foundation 7</w:t>
            </w:r>
            <w:r w:rsidRPr="00235635">
              <w:rPr>
                <w:rFonts w:ascii="Garamond" w:hAnsi="Garamond"/>
                <w:vertAlign w:val="superscript"/>
              </w:rPr>
              <w:t>th</w:t>
            </w:r>
            <w:r w:rsidRPr="00235635">
              <w:rPr>
                <w:rFonts w:ascii="Garamond" w:hAnsi="Garamond"/>
              </w:rPr>
              <w:t xml:space="preserve"> Annual Corporate Career Conference, Lansdowne, VA, September 2004</w:t>
            </w:r>
          </w:p>
        </w:tc>
      </w:tr>
      <w:tr w:rsidR="00805309" w14:paraId="2D30A574" w14:textId="77777777" w:rsidTr="003F4F30">
        <w:tc>
          <w:tcPr>
            <w:tcW w:w="1892" w:type="dxa"/>
          </w:tcPr>
          <w:p w14:paraId="71D5D83C" w14:textId="0FAF369F" w:rsidR="00805309" w:rsidRPr="00235635" w:rsidRDefault="00805309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</w:p>
        </w:tc>
        <w:tc>
          <w:tcPr>
            <w:tcW w:w="355" w:type="dxa"/>
          </w:tcPr>
          <w:p w14:paraId="33D55B7A" w14:textId="77777777" w:rsidR="00805309" w:rsidRDefault="00805309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1B231D88" w14:textId="77777777" w:rsidR="00805309" w:rsidRPr="004D0BFE" w:rsidRDefault="00805309" w:rsidP="007363F7">
            <w:pPr>
              <w:pStyle w:val="Heading2"/>
              <w:keepNext w:val="0"/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5309" w14:paraId="53216861" w14:textId="77777777" w:rsidTr="003F4F30">
        <w:tc>
          <w:tcPr>
            <w:tcW w:w="1892" w:type="dxa"/>
          </w:tcPr>
          <w:p w14:paraId="0F401A8D" w14:textId="7D98A1FA" w:rsidR="00805309" w:rsidRPr="00235635" w:rsidRDefault="00805309" w:rsidP="007363F7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 w:rsidRPr="00A07A52">
              <w:rPr>
                <w:smallCaps/>
                <w:color w:val="auto"/>
                <w:sz w:val="24"/>
              </w:rPr>
              <w:lastRenderedPageBreak/>
              <w:t>Selected Media Appearances</w:t>
            </w:r>
          </w:p>
        </w:tc>
        <w:tc>
          <w:tcPr>
            <w:tcW w:w="355" w:type="dxa"/>
          </w:tcPr>
          <w:p w14:paraId="29475CA7" w14:textId="77777777" w:rsidR="00805309" w:rsidRDefault="00805309" w:rsidP="007363F7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5B9C1C8C" w14:textId="77777777" w:rsidR="00805309" w:rsidRPr="00BB2F79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  <w:smallCaps/>
              </w:rPr>
              <w:t xml:space="preserve">Journal of College Admission, </w:t>
            </w:r>
            <w:r w:rsidRPr="00BB2F79">
              <w:rPr>
                <w:rFonts w:ascii="Garamond" w:hAnsi="Garamond"/>
                <w:i/>
              </w:rPr>
              <w:t>The Social Capital Deficit: Without the Right Relationships Many Students Miss College Opportunities</w:t>
            </w:r>
            <w:r>
              <w:rPr>
                <w:rFonts w:ascii="Garamond" w:hAnsi="Garamond"/>
              </w:rPr>
              <w:t xml:space="preserve"> (Winter 2015) (interview)</w:t>
            </w:r>
          </w:p>
          <w:p w14:paraId="0F000F2A" w14:textId="77777777" w:rsidR="00805309" w:rsidRPr="009273F4" w:rsidRDefault="00805309" w:rsidP="007363F7">
            <w:pPr>
              <w:keepLines/>
              <w:widowControl w:val="0"/>
              <w:rPr>
                <w:rFonts w:ascii="Garamond" w:hAnsi="Garamond"/>
                <w:smallCaps/>
                <w:szCs w:val="20"/>
              </w:rPr>
            </w:pPr>
          </w:p>
          <w:p w14:paraId="10526BBE" w14:textId="77777777" w:rsidR="00805309" w:rsidRPr="00235635" w:rsidRDefault="00805309" w:rsidP="007363F7">
            <w:pPr>
              <w:keepLines/>
              <w:widowControl w:val="0"/>
              <w:rPr>
                <w:rFonts w:ascii="Garamond" w:hAnsi="Garamond"/>
              </w:rPr>
            </w:pPr>
            <w:r w:rsidRPr="00235635">
              <w:rPr>
                <w:rFonts w:ascii="Garamond" w:hAnsi="Garamond"/>
                <w:smallCaps/>
              </w:rPr>
              <w:t>Education Week,</w:t>
            </w:r>
            <w:r w:rsidRPr="00235635">
              <w:rPr>
                <w:rFonts w:ascii="Garamond" w:hAnsi="Garamond"/>
                <w:i/>
              </w:rPr>
              <w:t xml:space="preserve"> For Stronger K-16 Bridge, Reform College Counseling</w:t>
            </w:r>
            <w:r w:rsidRPr="00235635">
              <w:rPr>
                <w:rFonts w:ascii="Garamond" w:hAnsi="Garamond"/>
              </w:rPr>
              <w:t>, June 9, 2011, at 22</w:t>
            </w:r>
            <w:r w:rsidRPr="00235635">
              <w:rPr>
                <w:rFonts w:ascii="Garamond" w:hAnsi="Garamond"/>
                <w:i/>
              </w:rPr>
              <w:t xml:space="preserve"> </w:t>
            </w:r>
            <w:r w:rsidRPr="00235635">
              <w:rPr>
                <w:rFonts w:ascii="Garamond" w:hAnsi="Garamond"/>
              </w:rPr>
              <w:t>(invited commentary)</w:t>
            </w:r>
          </w:p>
          <w:p w14:paraId="44FC1551" w14:textId="77777777" w:rsidR="00805309" w:rsidRPr="009273F4" w:rsidRDefault="00805309" w:rsidP="007363F7">
            <w:pPr>
              <w:keepLines/>
              <w:widowControl w:val="0"/>
              <w:ind w:right="720"/>
              <w:rPr>
                <w:rFonts w:ascii="Garamond" w:hAnsi="Garamond"/>
                <w:szCs w:val="20"/>
              </w:rPr>
            </w:pPr>
          </w:p>
          <w:p w14:paraId="15CA8E3C" w14:textId="77777777" w:rsidR="00805309" w:rsidRPr="00235635" w:rsidRDefault="00805309" w:rsidP="007363F7">
            <w:pPr>
              <w:keepLines/>
              <w:widowControl w:val="0"/>
              <w:ind w:right="36"/>
              <w:rPr>
                <w:rFonts w:ascii="Garamond" w:hAnsi="Garamond"/>
              </w:rPr>
            </w:pPr>
            <w:r w:rsidRPr="00235635">
              <w:rPr>
                <w:rFonts w:ascii="Garamond" w:hAnsi="Garamond"/>
                <w:smallCaps/>
              </w:rPr>
              <w:t xml:space="preserve">National Association of College Admissions Counselors </w:t>
            </w:r>
            <w:r w:rsidRPr="00235635">
              <w:rPr>
                <w:rFonts w:ascii="Garamond" w:hAnsi="Garamond"/>
              </w:rPr>
              <w:t>(NACAC), “College Counseling and Social Capital,” Podcast and Blog, April 13, 2011 (invited commentary)</w:t>
            </w:r>
          </w:p>
          <w:p w14:paraId="16BF440E" w14:textId="77777777" w:rsidR="00805309" w:rsidRPr="009273F4" w:rsidRDefault="00805309" w:rsidP="007363F7">
            <w:pPr>
              <w:keepLines/>
              <w:widowControl w:val="0"/>
              <w:ind w:right="36"/>
              <w:rPr>
                <w:rFonts w:ascii="Garamond" w:hAnsi="Garamond"/>
                <w:szCs w:val="20"/>
              </w:rPr>
            </w:pPr>
          </w:p>
          <w:p w14:paraId="42A27FAA" w14:textId="77777777" w:rsidR="00805309" w:rsidRPr="00235635" w:rsidRDefault="00805309" w:rsidP="007363F7">
            <w:pPr>
              <w:keepLines/>
              <w:widowControl w:val="0"/>
              <w:ind w:right="36"/>
              <w:rPr>
                <w:rFonts w:ascii="Garamond" w:hAnsi="Garamond"/>
              </w:rPr>
            </w:pPr>
            <w:r w:rsidRPr="00235635">
              <w:rPr>
                <w:rFonts w:ascii="Garamond" w:hAnsi="Garamond"/>
                <w:i/>
              </w:rPr>
              <w:t>Chronicle of Higher Education</w:t>
            </w:r>
            <w:r w:rsidRPr="00235635">
              <w:rPr>
                <w:rFonts w:ascii="Garamond" w:hAnsi="Garamond"/>
              </w:rPr>
              <w:t>, “’Social Capital’ and College Counseling,” Headcount Blog, March 21, 2011</w:t>
            </w:r>
          </w:p>
          <w:p w14:paraId="6F086789" w14:textId="77777777" w:rsidR="00805309" w:rsidRPr="009273F4" w:rsidRDefault="00805309" w:rsidP="007363F7">
            <w:pPr>
              <w:keepLines/>
              <w:widowControl w:val="0"/>
              <w:ind w:right="36"/>
              <w:rPr>
                <w:rFonts w:ascii="Garamond" w:hAnsi="Garamond"/>
                <w:i/>
                <w:szCs w:val="20"/>
              </w:rPr>
            </w:pPr>
          </w:p>
          <w:p w14:paraId="3078D740" w14:textId="77777777" w:rsidR="00805309" w:rsidRPr="00235635" w:rsidRDefault="00805309" w:rsidP="007363F7">
            <w:pPr>
              <w:keepLines/>
              <w:widowControl w:val="0"/>
              <w:ind w:right="36"/>
              <w:rPr>
                <w:rFonts w:ascii="Garamond" w:hAnsi="Garamond"/>
              </w:rPr>
            </w:pPr>
            <w:r w:rsidRPr="00235635">
              <w:rPr>
                <w:rFonts w:ascii="Garamond" w:hAnsi="Garamond"/>
                <w:i/>
              </w:rPr>
              <w:t>The Michael Eric Dyson Radio Show</w:t>
            </w:r>
            <w:r w:rsidRPr="00235635">
              <w:rPr>
                <w:rFonts w:ascii="Garamond" w:hAnsi="Garamond"/>
              </w:rPr>
              <w:t>, “The K-16 Bridge,” Interview, March 10, 2011</w:t>
            </w:r>
          </w:p>
          <w:p w14:paraId="26E67C0E" w14:textId="77777777" w:rsidR="00805309" w:rsidRPr="009273F4" w:rsidRDefault="00805309" w:rsidP="007363F7">
            <w:pPr>
              <w:keepLines/>
              <w:widowControl w:val="0"/>
              <w:ind w:right="36"/>
              <w:rPr>
                <w:rFonts w:ascii="Garamond" w:hAnsi="Garamond"/>
                <w:szCs w:val="20"/>
              </w:rPr>
            </w:pPr>
          </w:p>
          <w:p w14:paraId="7331FBB3" w14:textId="77777777" w:rsidR="00805309" w:rsidRPr="00235635" w:rsidRDefault="00805309" w:rsidP="007363F7">
            <w:pPr>
              <w:pStyle w:val="Heading1"/>
              <w:keepNext w:val="0"/>
              <w:widowControl w:val="0"/>
              <w:ind w:right="36"/>
              <w:jc w:val="left"/>
              <w:rPr>
                <w:rFonts w:ascii="Garamond" w:hAnsi="Garamond"/>
                <w:b w:val="0"/>
                <w:i/>
                <w:color w:val="auto"/>
                <w:sz w:val="24"/>
              </w:rPr>
            </w:pPr>
            <w:r w:rsidRPr="00235635">
              <w:rPr>
                <w:rFonts w:ascii="Garamond" w:eastAsia="SimSun" w:hAnsi="Garamond"/>
                <w:b w:val="0"/>
                <w:iCs/>
                <w:smallCaps/>
                <w:color w:val="auto"/>
                <w:sz w:val="24"/>
                <w:shd w:val="clear" w:color="auto" w:fill="FFFFFF"/>
              </w:rPr>
              <w:t>ED.gov</w:t>
            </w:r>
            <w:r w:rsidRPr="00235635">
              <w:rPr>
                <w:rFonts w:ascii="Garamond" w:eastAsia="SimSun" w:hAnsi="Garamond"/>
                <w:b w:val="0"/>
                <w:i/>
                <w:iCs/>
                <w:smallCaps/>
                <w:color w:val="auto"/>
                <w:sz w:val="24"/>
                <w:shd w:val="clear" w:color="auto" w:fill="FFFFFF"/>
              </w:rPr>
              <w:t xml:space="preserve"> Blog</w:t>
            </w:r>
            <w:r w:rsidRPr="00235635">
              <w:rPr>
                <w:rFonts w:ascii="Garamond" w:eastAsia="SimSun" w:hAnsi="Garamond"/>
                <w:b w:val="0"/>
                <w:i/>
                <w:iCs/>
                <w:color w:val="auto"/>
                <w:sz w:val="24"/>
                <w:shd w:val="clear" w:color="auto" w:fill="FFFFFF"/>
              </w:rPr>
              <w:t xml:space="preserve">, </w:t>
            </w:r>
            <w:r w:rsidRPr="00235635">
              <w:rPr>
                <w:rFonts w:ascii="Garamond" w:hAnsi="Garamond"/>
                <w:b w:val="0"/>
                <w:color w:val="auto"/>
                <w:sz w:val="24"/>
              </w:rPr>
              <w:t>Revolution of Rising Expectations: Youth at the National Youth Summit Raise their Voices</w:t>
            </w:r>
            <w:r w:rsidRPr="00235635">
              <w:rPr>
                <w:rFonts w:ascii="Garamond" w:hAnsi="Garamond"/>
                <w:b w:val="0"/>
                <w:i/>
                <w:color w:val="auto"/>
                <w:sz w:val="24"/>
              </w:rPr>
              <w:t>, February 28, 2011</w:t>
            </w:r>
          </w:p>
          <w:p w14:paraId="5F920154" w14:textId="77777777" w:rsidR="00805309" w:rsidRPr="009273F4" w:rsidRDefault="00805309" w:rsidP="007363F7">
            <w:pPr>
              <w:keepLines/>
              <w:widowControl w:val="0"/>
              <w:ind w:right="36"/>
              <w:rPr>
                <w:rFonts w:ascii="Garamond" w:hAnsi="Garamond"/>
                <w:smallCaps/>
                <w:szCs w:val="20"/>
              </w:rPr>
            </w:pPr>
          </w:p>
          <w:p w14:paraId="31BA4CCF" w14:textId="50D8C561" w:rsidR="00805309" w:rsidRPr="004D0BFE" w:rsidRDefault="00805309" w:rsidP="007363F7">
            <w:pPr>
              <w:pStyle w:val="Heading2"/>
              <w:keepNext w:val="0"/>
              <w:widowControl w:val="0"/>
              <w:spacing w:after="0"/>
              <w:ind w:right="36"/>
              <w:rPr>
                <w:rFonts w:asciiTheme="minorHAnsi" w:hAnsiTheme="minorHAnsi"/>
                <w:sz w:val="24"/>
                <w:szCs w:val="24"/>
              </w:rPr>
            </w:pPr>
            <w:r w:rsidRPr="00235635">
              <w:rPr>
                <w:rFonts w:ascii="Garamond" w:hAnsi="Garamond"/>
                <w:smallCaps/>
                <w:sz w:val="24"/>
                <w:szCs w:val="24"/>
              </w:rPr>
              <w:t>The Huffington Post</w:t>
            </w:r>
            <w:r w:rsidRPr="00235635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235635">
              <w:rPr>
                <w:rFonts w:ascii="Garamond" w:hAnsi="Garamond"/>
                <w:i/>
                <w:sz w:val="24"/>
                <w:szCs w:val="24"/>
              </w:rPr>
              <w:t xml:space="preserve">Administration’s Higher Education Goals Unattainable without K-16 Bridge, </w:t>
            </w:r>
            <w:r w:rsidRPr="00235635">
              <w:rPr>
                <w:rFonts w:ascii="Garamond" w:hAnsi="Garamond"/>
                <w:sz w:val="24"/>
                <w:szCs w:val="24"/>
              </w:rPr>
              <w:t>February 25, 2011 (Op-Ed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14:paraId="267FB5D0" w14:textId="77777777" w:rsidR="00585075" w:rsidRDefault="00585075" w:rsidP="00585075">
      <w:pPr>
        <w:pStyle w:val="BodyText"/>
        <w:keepLines/>
        <w:widowControl w:val="0"/>
        <w:tabs>
          <w:tab w:val="left" w:pos="2610"/>
        </w:tabs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355"/>
        <w:gridCol w:w="8697"/>
      </w:tblGrid>
      <w:tr w:rsidR="00585075" w14:paraId="5E9F9DCA" w14:textId="77777777" w:rsidTr="00B16351">
        <w:tc>
          <w:tcPr>
            <w:tcW w:w="1892" w:type="dxa"/>
          </w:tcPr>
          <w:p w14:paraId="629D6207" w14:textId="28A5A113" w:rsidR="00585075" w:rsidRPr="004447DE" w:rsidRDefault="00585075" w:rsidP="00B16351">
            <w:pPr>
              <w:pStyle w:val="Heading1"/>
              <w:keepNext w:val="0"/>
              <w:widowControl w:val="0"/>
              <w:jc w:val="center"/>
              <w:rPr>
                <w:smallCaps/>
                <w:color w:val="auto"/>
                <w:sz w:val="24"/>
              </w:rPr>
            </w:pPr>
            <w:r>
              <w:rPr>
                <w:smallCaps/>
                <w:color w:val="auto"/>
                <w:sz w:val="24"/>
              </w:rPr>
              <w:t>References</w:t>
            </w:r>
          </w:p>
        </w:tc>
        <w:tc>
          <w:tcPr>
            <w:tcW w:w="355" w:type="dxa"/>
          </w:tcPr>
          <w:p w14:paraId="4AC69822" w14:textId="77777777" w:rsidR="00585075" w:rsidRDefault="00585075" w:rsidP="00B16351">
            <w:pPr>
              <w:pStyle w:val="SpaceBetween"/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8697" w:type="dxa"/>
          </w:tcPr>
          <w:p w14:paraId="58C6D328" w14:textId="13401412" w:rsidR="00585075" w:rsidRPr="000E3AB5" w:rsidRDefault="00585075" w:rsidP="00B16351">
            <w:pPr>
              <w:keepLines/>
              <w:widowControl w:val="0"/>
              <w:ind w:right="720"/>
              <w:rPr>
                <w:rFonts w:asciiTheme="minorHAnsi" w:hAnsiTheme="minorHAnsi"/>
              </w:rPr>
            </w:pPr>
            <w:r w:rsidRPr="000E3AB5">
              <w:rPr>
                <w:rFonts w:asciiTheme="minorHAnsi" w:hAnsiTheme="minorHAnsi"/>
              </w:rPr>
              <w:t>Available upon request</w:t>
            </w:r>
          </w:p>
        </w:tc>
      </w:tr>
    </w:tbl>
    <w:p w14:paraId="0C6EA583" w14:textId="77777777" w:rsidR="00585075" w:rsidRPr="00FB7CF6" w:rsidRDefault="00585075" w:rsidP="00585075">
      <w:pPr>
        <w:pStyle w:val="BodyText"/>
        <w:keepLines/>
        <w:widowControl w:val="0"/>
        <w:tabs>
          <w:tab w:val="left" w:pos="2610"/>
        </w:tabs>
        <w:rPr>
          <w:color w:val="000000" w:themeColor="text1"/>
          <w:sz w:val="24"/>
          <w:szCs w:val="24"/>
        </w:rPr>
      </w:pPr>
    </w:p>
    <w:sectPr w:rsidR="00585075" w:rsidRPr="00FB7CF6" w:rsidSect="006F6D4E">
      <w:footerReference w:type="default" r:id="rId9"/>
      <w:pgSz w:w="12240" w:h="15840" w:code="1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17B3F" w14:textId="77777777" w:rsidR="008362A6" w:rsidRDefault="008362A6">
      <w:r>
        <w:separator/>
      </w:r>
    </w:p>
  </w:endnote>
  <w:endnote w:type="continuationSeparator" w:id="0">
    <w:p w14:paraId="09E0966A" w14:textId="77777777" w:rsidR="008362A6" w:rsidRDefault="0083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A48FD" w14:textId="6C481E15" w:rsidR="008811CF" w:rsidRDefault="008811CF" w:rsidP="00C65693">
    <w:pPr>
      <w:pStyle w:val="Footer"/>
      <w:jc w:val="center"/>
    </w:pPr>
    <w:r>
      <w:tab/>
    </w:r>
    <w:r>
      <w:tab/>
      <w:t xml:space="preserve">Simmons </w:t>
    </w:r>
    <w:r>
      <w:fldChar w:fldCharType="begin"/>
    </w:r>
    <w:r>
      <w:instrText xml:space="preserve"> Page </w:instrText>
    </w:r>
    <w:r>
      <w:fldChar w:fldCharType="separate"/>
    </w:r>
    <w:r w:rsidR="003A34C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6CF7" w14:textId="77777777" w:rsidR="008362A6" w:rsidRDefault="008362A6">
      <w:r>
        <w:separator/>
      </w:r>
    </w:p>
  </w:footnote>
  <w:footnote w:type="continuationSeparator" w:id="0">
    <w:p w14:paraId="24AEE7D8" w14:textId="77777777" w:rsidR="008362A6" w:rsidRDefault="00836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86B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F29B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5E6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E2D0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0077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A2A7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985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A29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DA57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C4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6E5D6B"/>
    <w:multiLevelType w:val="hybridMultilevel"/>
    <w:tmpl w:val="81A64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F86688"/>
    <w:multiLevelType w:val="hybridMultilevel"/>
    <w:tmpl w:val="569E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E75F8"/>
    <w:multiLevelType w:val="hybridMultilevel"/>
    <w:tmpl w:val="3A9C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D6617"/>
    <w:multiLevelType w:val="hybridMultilevel"/>
    <w:tmpl w:val="631E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30295"/>
    <w:multiLevelType w:val="multilevel"/>
    <w:tmpl w:val="569E4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226E4"/>
    <w:rsid w:val="00002499"/>
    <w:rsid w:val="000065FF"/>
    <w:rsid w:val="00023954"/>
    <w:rsid w:val="00023D2F"/>
    <w:rsid w:val="00023E1C"/>
    <w:rsid w:val="000244B9"/>
    <w:rsid w:val="00030F81"/>
    <w:rsid w:val="00034ACD"/>
    <w:rsid w:val="00035EC6"/>
    <w:rsid w:val="0004479E"/>
    <w:rsid w:val="000471EB"/>
    <w:rsid w:val="00051842"/>
    <w:rsid w:val="00053267"/>
    <w:rsid w:val="00055FCB"/>
    <w:rsid w:val="00060999"/>
    <w:rsid w:val="00062403"/>
    <w:rsid w:val="00063DDC"/>
    <w:rsid w:val="000646FD"/>
    <w:rsid w:val="00066FF0"/>
    <w:rsid w:val="000751AD"/>
    <w:rsid w:val="0008199F"/>
    <w:rsid w:val="000819E0"/>
    <w:rsid w:val="00082C28"/>
    <w:rsid w:val="00087F7D"/>
    <w:rsid w:val="000909CF"/>
    <w:rsid w:val="00093CA4"/>
    <w:rsid w:val="00096B3D"/>
    <w:rsid w:val="0009723B"/>
    <w:rsid w:val="000A165D"/>
    <w:rsid w:val="000A43F8"/>
    <w:rsid w:val="000B4442"/>
    <w:rsid w:val="000B51CF"/>
    <w:rsid w:val="000C25A4"/>
    <w:rsid w:val="000C7D25"/>
    <w:rsid w:val="000D4A2A"/>
    <w:rsid w:val="000D66FC"/>
    <w:rsid w:val="000D74B9"/>
    <w:rsid w:val="000E20F9"/>
    <w:rsid w:val="000E3AB5"/>
    <w:rsid w:val="000E651C"/>
    <w:rsid w:val="001042D8"/>
    <w:rsid w:val="00110ABE"/>
    <w:rsid w:val="0011104A"/>
    <w:rsid w:val="0011175C"/>
    <w:rsid w:val="00112372"/>
    <w:rsid w:val="00112549"/>
    <w:rsid w:val="00113C9E"/>
    <w:rsid w:val="001177A5"/>
    <w:rsid w:val="00122711"/>
    <w:rsid w:val="00124977"/>
    <w:rsid w:val="00126027"/>
    <w:rsid w:val="00126D07"/>
    <w:rsid w:val="001350E1"/>
    <w:rsid w:val="00140076"/>
    <w:rsid w:val="001420EA"/>
    <w:rsid w:val="00142345"/>
    <w:rsid w:val="001467CB"/>
    <w:rsid w:val="00147B2E"/>
    <w:rsid w:val="00155F05"/>
    <w:rsid w:val="00162DDC"/>
    <w:rsid w:val="00163236"/>
    <w:rsid w:val="00163DC1"/>
    <w:rsid w:val="00166834"/>
    <w:rsid w:val="001726C6"/>
    <w:rsid w:val="00172A9D"/>
    <w:rsid w:val="00180321"/>
    <w:rsid w:val="001B2E27"/>
    <w:rsid w:val="001C3D65"/>
    <w:rsid w:val="001D2E87"/>
    <w:rsid w:val="001E416C"/>
    <w:rsid w:val="001E59CA"/>
    <w:rsid w:val="001E6115"/>
    <w:rsid w:val="001E7DD8"/>
    <w:rsid w:val="001F1E18"/>
    <w:rsid w:val="002006B9"/>
    <w:rsid w:val="00202022"/>
    <w:rsid w:val="002029D6"/>
    <w:rsid w:val="00205936"/>
    <w:rsid w:val="00207635"/>
    <w:rsid w:val="002100AC"/>
    <w:rsid w:val="002105CA"/>
    <w:rsid w:val="00214DD5"/>
    <w:rsid w:val="00215372"/>
    <w:rsid w:val="00222A54"/>
    <w:rsid w:val="00222D1A"/>
    <w:rsid w:val="0022387F"/>
    <w:rsid w:val="002252BB"/>
    <w:rsid w:val="002273F2"/>
    <w:rsid w:val="002275B3"/>
    <w:rsid w:val="002329FE"/>
    <w:rsid w:val="00235635"/>
    <w:rsid w:val="002357BB"/>
    <w:rsid w:val="00235B46"/>
    <w:rsid w:val="0024185F"/>
    <w:rsid w:val="002424A9"/>
    <w:rsid w:val="00243C53"/>
    <w:rsid w:val="00252853"/>
    <w:rsid w:val="00255BC3"/>
    <w:rsid w:val="00257B42"/>
    <w:rsid w:val="00260976"/>
    <w:rsid w:val="002634E3"/>
    <w:rsid w:val="00263674"/>
    <w:rsid w:val="00264273"/>
    <w:rsid w:val="00293E25"/>
    <w:rsid w:val="002958E3"/>
    <w:rsid w:val="00295C83"/>
    <w:rsid w:val="002A2CDF"/>
    <w:rsid w:val="002B4508"/>
    <w:rsid w:val="002B4677"/>
    <w:rsid w:val="002B6CDF"/>
    <w:rsid w:val="002C50AE"/>
    <w:rsid w:val="002C6B99"/>
    <w:rsid w:val="002C7DE8"/>
    <w:rsid w:val="002D57BB"/>
    <w:rsid w:val="002D6CCB"/>
    <w:rsid w:val="002E48AD"/>
    <w:rsid w:val="002E722A"/>
    <w:rsid w:val="002E7E09"/>
    <w:rsid w:val="00300A50"/>
    <w:rsid w:val="003034B7"/>
    <w:rsid w:val="003071C5"/>
    <w:rsid w:val="00310ADB"/>
    <w:rsid w:val="003151C8"/>
    <w:rsid w:val="00322360"/>
    <w:rsid w:val="00326E2D"/>
    <w:rsid w:val="003309BB"/>
    <w:rsid w:val="00331B0C"/>
    <w:rsid w:val="00333A10"/>
    <w:rsid w:val="00341687"/>
    <w:rsid w:val="00342CF9"/>
    <w:rsid w:val="00344BE1"/>
    <w:rsid w:val="00347FA6"/>
    <w:rsid w:val="003532B0"/>
    <w:rsid w:val="0035375C"/>
    <w:rsid w:val="0036344A"/>
    <w:rsid w:val="0037107B"/>
    <w:rsid w:val="00373B5B"/>
    <w:rsid w:val="00374327"/>
    <w:rsid w:val="003811D0"/>
    <w:rsid w:val="00381446"/>
    <w:rsid w:val="003831E8"/>
    <w:rsid w:val="00383A81"/>
    <w:rsid w:val="0038409E"/>
    <w:rsid w:val="003862F5"/>
    <w:rsid w:val="003920E3"/>
    <w:rsid w:val="00392B5A"/>
    <w:rsid w:val="00393B8F"/>
    <w:rsid w:val="00394004"/>
    <w:rsid w:val="00396A84"/>
    <w:rsid w:val="003A0669"/>
    <w:rsid w:val="003A07BC"/>
    <w:rsid w:val="003A096F"/>
    <w:rsid w:val="003A34C2"/>
    <w:rsid w:val="003A3679"/>
    <w:rsid w:val="003B0269"/>
    <w:rsid w:val="003B0389"/>
    <w:rsid w:val="003B06D4"/>
    <w:rsid w:val="003B3270"/>
    <w:rsid w:val="003B5598"/>
    <w:rsid w:val="003B752B"/>
    <w:rsid w:val="003C7CDD"/>
    <w:rsid w:val="003D6CF2"/>
    <w:rsid w:val="003E3099"/>
    <w:rsid w:val="003E6C65"/>
    <w:rsid w:val="003E7C60"/>
    <w:rsid w:val="003F337A"/>
    <w:rsid w:val="003F4F30"/>
    <w:rsid w:val="003F6522"/>
    <w:rsid w:val="00401EA3"/>
    <w:rsid w:val="004025FA"/>
    <w:rsid w:val="0040547F"/>
    <w:rsid w:val="004078BB"/>
    <w:rsid w:val="00411048"/>
    <w:rsid w:val="00416ADE"/>
    <w:rsid w:val="00422AFB"/>
    <w:rsid w:val="0043024F"/>
    <w:rsid w:val="004354EF"/>
    <w:rsid w:val="004447DE"/>
    <w:rsid w:val="00446762"/>
    <w:rsid w:val="00455A53"/>
    <w:rsid w:val="00456864"/>
    <w:rsid w:val="00460C93"/>
    <w:rsid w:val="00461585"/>
    <w:rsid w:val="00461BD8"/>
    <w:rsid w:val="00467F05"/>
    <w:rsid w:val="00483148"/>
    <w:rsid w:val="00492AC5"/>
    <w:rsid w:val="004A150F"/>
    <w:rsid w:val="004A3199"/>
    <w:rsid w:val="004A45A7"/>
    <w:rsid w:val="004A53B8"/>
    <w:rsid w:val="004B41DE"/>
    <w:rsid w:val="004B5622"/>
    <w:rsid w:val="004B6FEE"/>
    <w:rsid w:val="004C055F"/>
    <w:rsid w:val="004C3E0B"/>
    <w:rsid w:val="004C754C"/>
    <w:rsid w:val="004C7C54"/>
    <w:rsid w:val="004D0BFE"/>
    <w:rsid w:val="004D0CFB"/>
    <w:rsid w:val="004D5EC8"/>
    <w:rsid w:val="004D6C6C"/>
    <w:rsid w:val="004D78E7"/>
    <w:rsid w:val="004E3A58"/>
    <w:rsid w:val="004E3D6A"/>
    <w:rsid w:val="004E4AD5"/>
    <w:rsid w:val="004F3EF4"/>
    <w:rsid w:val="0050309F"/>
    <w:rsid w:val="005058D5"/>
    <w:rsid w:val="005102F0"/>
    <w:rsid w:val="005122E0"/>
    <w:rsid w:val="005152FE"/>
    <w:rsid w:val="005167BE"/>
    <w:rsid w:val="005247AD"/>
    <w:rsid w:val="00524A3A"/>
    <w:rsid w:val="00525CA1"/>
    <w:rsid w:val="005311C2"/>
    <w:rsid w:val="00533CD6"/>
    <w:rsid w:val="00534672"/>
    <w:rsid w:val="005376B9"/>
    <w:rsid w:val="005457E5"/>
    <w:rsid w:val="005461A3"/>
    <w:rsid w:val="0055655A"/>
    <w:rsid w:val="005574E6"/>
    <w:rsid w:val="00565C54"/>
    <w:rsid w:val="005678E3"/>
    <w:rsid w:val="005704C9"/>
    <w:rsid w:val="00571A13"/>
    <w:rsid w:val="0057343E"/>
    <w:rsid w:val="00575B9F"/>
    <w:rsid w:val="005760A5"/>
    <w:rsid w:val="00577744"/>
    <w:rsid w:val="00581FE5"/>
    <w:rsid w:val="005837DC"/>
    <w:rsid w:val="00585075"/>
    <w:rsid w:val="0058531D"/>
    <w:rsid w:val="00586D37"/>
    <w:rsid w:val="00590FAF"/>
    <w:rsid w:val="005A1525"/>
    <w:rsid w:val="005A309D"/>
    <w:rsid w:val="005B4DD1"/>
    <w:rsid w:val="005B5F30"/>
    <w:rsid w:val="005C3DC8"/>
    <w:rsid w:val="005C5F5C"/>
    <w:rsid w:val="005D3F38"/>
    <w:rsid w:val="005D6398"/>
    <w:rsid w:val="005D711B"/>
    <w:rsid w:val="005E78E7"/>
    <w:rsid w:val="005F0A2C"/>
    <w:rsid w:val="005F2005"/>
    <w:rsid w:val="005F5045"/>
    <w:rsid w:val="0060318A"/>
    <w:rsid w:val="00604852"/>
    <w:rsid w:val="00611BDB"/>
    <w:rsid w:val="00611C28"/>
    <w:rsid w:val="00617A19"/>
    <w:rsid w:val="00617A31"/>
    <w:rsid w:val="00620EA4"/>
    <w:rsid w:val="006226E4"/>
    <w:rsid w:val="006231D9"/>
    <w:rsid w:val="006240EC"/>
    <w:rsid w:val="00625A88"/>
    <w:rsid w:val="006319A6"/>
    <w:rsid w:val="00632BBA"/>
    <w:rsid w:val="006339B6"/>
    <w:rsid w:val="00640C69"/>
    <w:rsid w:val="00641D95"/>
    <w:rsid w:val="006436F9"/>
    <w:rsid w:val="00645366"/>
    <w:rsid w:val="00646024"/>
    <w:rsid w:val="0064721E"/>
    <w:rsid w:val="006518FB"/>
    <w:rsid w:val="00653CAB"/>
    <w:rsid w:val="006540B6"/>
    <w:rsid w:val="00654175"/>
    <w:rsid w:val="0065428B"/>
    <w:rsid w:val="006542A2"/>
    <w:rsid w:val="00654772"/>
    <w:rsid w:val="006655D8"/>
    <w:rsid w:val="0067124C"/>
    <w:rsid w:val="00672A00"/>
    <w:rsid w:val="0067535C"/>
    <w:rsid w:val="00677533"/>
    <w:rsid w:val="00677830"/>
    <w:rsid w:val="0068141C"/>
    <w:rsid w:val="00690127"/>
    <w:rsid w:val="00691707"/>
    <w:rsid w:val="006920CE"/>
    <w:rsid w:val="0069543F"/>
    <w:rsid w:val="00697228"/>
    <w:rsid w:val="006A03E7"/>
    <w:rsid w:val="006B1813"/>
    <w:rsid w:val="006B399A"/>
    <w:rsid w:val="006B4262"/>
    <w:rsid w:val="006B6A56"/>
    <w:rsid w:val="006C27B5"/>
    <w:rsid w:val="006C28D8"/>
    <w:rsid w:val="006C4EE4"/>
    <w:rsid w:val="006C6A86"/>
    <w:rsid w:val="006D333B"/>
    <w:rsid w:val="006D51EB"/>
    <w:rsid w:val="006E0769"/>
    <w:rsid w:val="006E0C38"/>
    <w:rsid w:val="006E127E"/>
    <w:rsid w:val="006E13A4"/>
    <w:rsid w:val="006E66A7"/>
    <w:rsid w:val="006E79D6"/>
    <w:rsid w:val="006F2996"/>
    <w:rsid w:val="006F6D4E"/>
    <w:rsid w:val="00707111"/>
    <w:rsid w:val="0070766F"/>
    <w:rsid w:val="00710246"/>
    <w:rsid w:val="007155E6"/>
    <w:rsid w:val="0071607E"/>
    <w:rsid w:val="00716CCB"/>
    <w:rsid w:val="00720A60"/>
    <w:rsid w:val="00722F67"/>
    <w:rsid w:val="007240CB"/>
    <w:rsid w:val="007363F7"/>
    <w:rsid w:val="00747094"/>
    <w:rsid w:val="007476FC"/>
    <w:rsid w:val="007515BC"/>
    <w:rsid w:val="00751FDF"/>
    <w:rsid w:val="007568C0"/>
    <w:rsid w:val="0076359E"/>
    <w:rsid w:val="00763877"/>
    <w:rsid w:val="00782A15"/>
    <w:rsid w:val="00794419"/>
    <w:rsid w:val="00796575"/>
    <w:rsid w:val="00796CA8"/>
    <w:rsid w:val="007A0BD9"/>
    <w:rsid w:val="007A5E18"/>
    <w:rsid w:val="007B131D"/>
    <w:rsid w:val="007B13D6"/>
    <w:rsid w:val="007B7F09"/>
    <w:rsid w:val="007C051E"/>
    <w:rsid w:val="007C18EE"/>
    <w:rsid w:val="007C315C"/>
    <w:rsid w:val="007C4B87"/>
    <w:rsid w:val="007D3BBB"/>
    <w:rsid w:val="007D5D1E"/>
    <w:rsid w:val="007D63E6"/>
    <w:rsid w:val="007D6D89"/>
    <w:rsid w:val="007E0944"/>
    <w:rsid w:val="007E1C80"/>
    <w:rsid w:val="007E274E"/>
    <w:rsid w:val="007F11B9"/>
    <w:rsid w:val="007F1F10"/>
    <w:rsid w:val="007F4AE1"/>
    <w:rsid w:val="007F59B0"/>
    <w:rsid w:val="00803572"/>
    <w:rsid w:val="008051F0"/>
    <w:rsid w:val="00805309"/>
    <w:rsid w:val="00810AA1"/>
    <w:rsid w:val="008239AA"/>
    <w:rsid w:val="00825C7C"/>
    <w:rsid w:val="008362A6"/>
    <w:rsid w:val="008407A7"/>
    <w:rsid w:val="00841602"/>
    <w:rsid w:val="00841D1E"/>
    <w:rsid w:val="00844C9B"/>
    <w:rsid w:val="00844D8F"/>
    <w:rsid w:val="00847540"/>
    <w:rsid w:val="0085344C"/>
    <w:rsid w:val="00855DE3"/>
    <w:rsid w:val="00856AA9"/>
    <w:rsid w:val="00870DA2"/>
    <w:rsid w:val="008718BC"/>
    <w:rsid w:val="00874AC2"/>
    <w:rsid w:val="00875F69"/>
    <w:rsid w:val="008811CF"/>
    <w:rsid w:val="00881E83"/>
    <w:rsid w:val="0088299E"/>
    <w:rsid w:val="008860AB"/>
    <w:rsid w:val="0089155A"/>
    <w:rsid w:val="00895812"/>
    <w:rsid w:val="00895C8E"/>
    <w:rsid w:val="00896AA1"/>
    <w:rsid w:val="008A0ED5"/>
    <w:rsid w:val="008A4105"/>
    <w:rsid w:val="008B1D6B"/>
    <w:rsid w:val="008B247E"/>
    <w:rsid w:val="008B2E63"/>
    <w:rsid w:val="008C1C68"/>
    <w:rsid w:val="008C20FE"/>
    <w:rsid w:val="008C2DE7"/>
    <w:rsid w:val="008C2FE3"/>
    <w:rsid w:val="008C325C"/>
    <w:rsid w:val="008C79F4"/>
    <w:rsid w:val="008D1B31"/>
    <w:rsid w:val="008D32F6"/>
    <w:rsid w:val="008D3969"/>
    <w:rsid w:val="008D67FA"/>
    <w:rsid w:val="008E0EBF"/>
    <w:rsid w:val="008E529B"/>
    <w:rsid w:val="008F0D38"/>
    <w:rsid w:val="008F3772"/>
    <w:rsid w:val="00901EBE"/>
    <w:rsid w:val="009021F8"/>
    <w:rsid w:val="00905A33"/>
    <w:rsid w:val="00907902"/>
    <w:rsid w:val="00911D5B"/>
    <w:rsid w:val="009128A4"/>
    <w:rsid w:val="009273F4"/>
    <w:rsid w:val="00931730"/>
    <w:rsid w:val="00932957"/>
    <w:rsid w:val="00934F94"/>
    <w:rsid w:val="0094155E"/>
    <w:rsid w:val="00941B8A"/>
    <w:rsid w:val="00953D89"/>
    <w:rsid w:val="00962D4F"/>
    <w:rsid w:val="00963153"/>
    <w:rsid w:val="00965221"/>
    <w:rsid w:val="009667B2"/>
    <w:rsid w:val="00970752"/>
    <w:rsid w:val="00974321"/>
    <w:rsid w:val="00982371"/>
    <w:rsid w:val="00982FAC"/>
    <w:rsid w:val="00987BB3"/>
    <w:rsid w:val="0099150A"/>
    <w:rsid w:val="009945E0"/>
    <w:rsid w:val="009949AB"/>
    <w:rsid w:val="009A052A"/>
    <w:rsid w:val="009A59E8"/>
    <w:rsid w:val="009A5C73"/>
    <w:rsid w:val="009A60FE"/>
    <w:rsid w:val="009C03BE"/>
    <w:rsid w:val="009C2000"/>
    <w:rsid w:val="009C2015"/>
    <w:rsid w:val="009C26F4"/>
    <w:rsid w:val="009C4672"/>
    <w:rsid w:val="009D0D83"/>
    <w:rsid w:val="009D6453"/>
    <w:rsid w:val="009E188F"/>
    <w:rsid w:val="009E1AF9"/>
    <w:rsid w:val="009E42B9"/>
    <w:rsid w:val="009E4A3F"/>
    <w:rsid w:val="009E5233"/>
    <w:rsid w:val="009E761E"/>
    <w:rsid w:val="009F19E9"/>
    <w:rsid w:val="009F3A0D"/>
    <w:rsid w:val="00A00EDA"/>
    <w:rsid w:val="00A02D4E"/>
    <w:rsid w:val="00A07A52"/>
    <w:rsid w:val="00A10A24"/>
    <w:rsid w:val="00A17B7E"/>
    <w:rsid w:val="00A205D7"/>
    <w:rsid w:val="00A223E4"/>
    <w:rsid w:val="00A27365"/>
    <w:rsid w:val="00A276F8"/>
    <w:rsid w:val="00A30B7C"/>
    <w:rsid w:val="00A365CB"/>
    <w:rsid w:val="00A37DFA"/>
    <w:rsid w:val="00A42B5D"/>
    <w:rsid w:val="00A468D1"/>
    <w:rsid w:val="00A524EB"/>
    <w:rsid w:val="00A52E2C"/>
    <w:rsid w:val="00A53943"/>
    <w:rsid w:val="00A5463F"/>
    <w:rsid w:val="00A6741D"/>
    <w:rsid w:val="00A70AF7"/>
    <w:rsid w:val="00A7365C"/>
    <w:rsid w:val="00A73DE9"/>
    <w:rsid w:val="00A76C5A"/>
    <w:rsid w:val="00A77ECD"/>
    <w:rsid w:val="00A81AC3"/>
    <w:rsid w:val="00A82408"/>
    <w:rsid w:val="00A82829"/>
    <w:rsid w:val="00A9305A"/>
    <w:rsid w:val="00AA1AD3"/>
    <w:rsid w:val="00AA1B26"/>
    <w:rsid w:val="00AA4607"/>
    <w:rsid w:val="00AB3776"/>
    <w:rsid w:val="00AB3999"/>
    <w:rsid w:val="00AB74E1"/>
    <w:rsid w:val="00AC069F"/>
    <w:rsid w:val="00AC18BB"/>
    <w:rsid w:val="00AC631E"/>
    <w:rsid w:val="00AC7A25"/>
    <w:rsid w:val="00AC7FB3"/>
    <w:rsid w:val="00AD0B1E"/>
    <w:rsid w:val="00AE27FA"/>
    <w:rsid w:val="00AE3DF6"/>
    <w:rsid w:val="00AE7B58"/>
    <w:rsid w:val="00AF2C19"/>
    <w:rsid w:val="00AF3800"/>
    <w:rsid w:val="00B00952"/>
    <w:rsid w:val="00B01348"/>
    <w:rsid w:val="00B01ACE"/>
    <w:rsid w:val="00B021A5"/>
    <w:rsid w:val="00B12F8B"/>
    <w:rsid w:val="00B15BD5"/>
    <w:rsid w:val="00B233F4"/>
    <w:rsid w:val="00B23DC0"/>
    <w:rsid w:val="00B23F1C"/>
    <w:rsid w:val="00B3101C"/>
    <w:rsid w:val="00B325D0"/>
    <w:rsid w:val="00B334C9"/>
    <w:rsid w:val="00B33B22"/>
    <w:rsid w:val="00B37156"/>
    <w:rsid w:val="00B372A1"/>
    <w:rsid w:val="00B40C4C"/>
    <w:rsid w:val="00B41FE5"/>
    <w:rsid w:val="00B42D48"/>
    <w:rsid w:val="00B60384"/>
    <w:rsid w:val="00B652A3"/>
    <w:rsid w:val="00B654B9"/>
    <w:rsid w:val="00B76838"/>
    <w:rsid w:val="00B85CF6"/>
    <w:rsid w:val="00B86F07"/>
    <w:rsid w:val="00B87E81"/>
    <w:rsid w:val="00B92FE6"/>
    <w:rsid w:val="00B97BA3"/>
    <w:rsid w:val="00BA4757"/>
    <w:rsid w:val="00BA4A2B"/>
    <w:rsid w:val="00BA7B61"/>
    <w:rsid w:val="00BB15CD"/>
    <w:rsid w:val="00BB25B8"/>
    <w:rsid w:val="00BB2F79"/>
    <w:rsid w:val="00BB7A38"/>
    <w:rsid w:val="00BB7BA0"/>
    <w:rsid w:val="00BC03B2"/>
    <w:rsid w:val="00BD677E"/>
    <w:rsid w:val="00BE0989"/>
    <w:rsid w:val="00BE11EE"/>
    <w:rsid w:val="00BE39B8"/>
    <w:rsid w:val="00BF0E74"/>
    <w:rsid w:val="00BF2B70"/>
    <w:rsid w:val="00BF4453"/>
    <w:rsid w:val="00BF51F9"/>
    <w:rsid w:val="00BF5259"/>
    <w:rsid w:val="00C01A80"/>
    <w:rsid w:val="00C03C31"/>
    <w:rsid w:val="00C045A1"/>
    <w:rsid w:val="00C12647"/>
    <w:rsid w:val="00C15166"/>
    <w:rsid w:val="00C2683A"/>
    <w:rsid w:val="00C27125"/>
    <w:rsid w:val="00C37866"/>
    <w:rsid w:val="00C40580"/>
    <w:rsid w:val="00C417E1"/>
    <w:rsid w:val="00C53010"/>
    <w:rsid w:val="00C565FD"/>
    <w:rsid w:val="00C61563"/>
    <w:rsid w:val="00C61B98"/>
    <w:rsid w:val="00C61FAB"/>
    <w:rsid w:val="00C63957"/>
    <w:rsid w:val="00C65693"/>
    <w:rsid w:val="00C70186"/>
    <w:rsid w:val="00C7125A"/>
    <w:rsid w:val="00C7178C"/>
    <w:rsid w:val="00C72C34"/>
    <w:rsid w:val="00C7712C"/>
    <w:rsid w:val="00C814F9"/>
    <w:rsid w:val="00C831B6"/>
    <w:rsid w:val="00C844B2"/>
    <w:rsid w:val="00C84746"/>
    <w:rsid w:val="00C86FDD"/>
    <w:rsid w:val="00C87934"/>
    <w:rsid w:val="00CA2C96"/>
    <w:rsid w:val="00CA527C"/>
    <w:rsid w:val="00CB33AD"/>
    <w:rsid w:val="00CB6F39"/>
    <w:rsid w:val="00CC3577"/>
    <w:rsid w:val="00CC49C2"/>
    <w:rsid w:val="00CD3561"/>
    <w:rsid w:val="00CD5F46"/>
    <w:rsid w:val="00CE32E9"/>
    <w:rsid w:val="00CE5557"/>
    <w:rsid w:val="00CE5570"/>
    <w:rsid w:val="00D00856"/>
    <w:rsid w:val="00D01C52"/>
    <w:rsid w:val="00D03C67"/>
    <w:rsid w:val="00D06D0F"/>
    <w:rsid w:val="00D12ECF"/>
    <w:rsid w:val="00D14402"/>
    <w:rsid w:val="00D1561F"/>
    <w:rsid w:val="00D176C7"/>
    <w:rsid w:val="00D206AC"/>
    <w:rsid w:val="00D21A9D"/>
    <w:rsid w:val="00D22AA1"/>
    <w:rsid w:val="00D26650"/>
    <w:rsid w:val="00D34CA9"/>
    <w:rsid w:val="00D4074C"/>
    <w:rsid w:val="00D55DF8"/>
    <w:rsid w:val="00D617A8"/>
    <w:rsid w:val="00D623A2"/>
    <w:rsid w:val="00D639FE"/>
    <w:rsid w:val="00D705AB"/>
    <w:rsid w:val="00D74E0C"/>
    <w:rsid w:val="00D75A6E"/>
    <w:rsid w:val="00D82FA8"/>
    <w:rsid w:val="00D90200"/>
    <w:rsid w:val="00D93A42"/>
    <w:rsid w:val="00DA20C6"/>
    <w:rsid w:val="00DA60FB"/>
    <w:rsid w:val="00DA6D45"/>
    <w:rsid w:val="00DB22CD"/>
    <w:rsid w:val="00DC50F0"/>
    <w:rsid w:val="00DD0AF6"/>
    <w:rsid w:val="00DD0B37"/>
    <w:rsid w:val="00DD2A7A"/>
    <w:rsid w:val="00DD2E15"/>
    <w:rsid w:val="00DD39C2"/>
    <w:rsid w:val="00DD6528"/>
    <w:rsid w:val="00DE6018"/>
    <w:rsid w:val="00DE67A9"/>
    <w:rsid w:val="00DE6C56"/>
    <w:rsid w:val="00DF6BD3"/>
    <w:rsid w:val="00E0194D"/>
    <w:rsid w:val="00E02393"/>
    <w:rsid w:val="00E059BE"/>
    <w:rsid w:val="00E067D2"/>
    <w:rsid w:val="00E10340"/>
    <w:rsid w:val="00E1197F"/>
    <w:rsid w:val="00E157E1"/>
    <w:rsid w:val="00E26C56"/>
    <w:rsid w:val="00E327CB"/>
    <w:rsid w:val="00E33D66"/>
    <w:rsid w:val="00E379B5"/>
    <w:rsid w:val="00E40E37"/>
    <w:rsid w:val="00E456D2"/>
    <w:rsid w:val="00E456DB"/>
    <w:rsid w:val="00E4688F"/>
    <w:rsid w:val="00E47E95"/>
    <w:rsid w:val="00E50E45"/>
    <w:rsid w:val="00E5309B"/>
    <w:rsid w:val="00E5321A"/>
    <w:rsid w:val="00E55C53"/>
    <w:rsid w:val="00E645F4"/>
    <w:rsid w:val="00E76E0D"/>
    <w:rsid w:val="00E83DFD"/>
    <w:rsid w:val="00E8531D"/>
    <w:rsid w:val="00E90B4A"/>
    <w:rsid w:val="00E945C3"/>
    <w:rsid w:val="00EA1C53"/>
    <w:rsid w:val="00EA2530"/>
    <w:rsid w:val="00EA2CB7"/>
    <w:rsid w:val="00EA3260"/>
    <w:rsid w:val="00EA69B4"/>
    <w:rsid w:val="00EB2598"/>
    <w:rsid w:val="00EB3247"/>
    <w:rsid w:val="00EB460F"/>
    <w:rsid w:val="00EB5525"/>
    <w:rsid w:val="00EB5A46"/>
    <w:rsid w:val="00EC2150"/>
    <w:rsid w:val="00EC31A7"/>
    <w:rsid w:val="00EE05CF"/>
    <w:rsid w:val="00EE08A6"/>
    <w:rsid w:val="00EE1361"/>
    <w:rsid w:val="00EE1552"/>
    <w:rsid w:val="00EE2012"/>
    <w:rsid w:val="00EE209F"/>
    <w:rsid w:val="00EF165E"/>
    <w:rsid w:val="00EF4188"/>
    <w:rsid w:val="00EF57FC"/>
    <w:rsid w:val="00EF657A"/>
    <w:rsid w:val="00F00228"/>
    <w:rsid w:val="00F007DC"/>
    <w:rsid w:val="00F00E97"/>
    <w:rsid w:val="00F21CEF"/>
    <w:rsid w:val="00F23C48"/>
    <w:rsid w:val="00F24660"/>
    <w:rsid w:val="00F2678E"/>
    <w:rsid w:val="00F32A80"/>
    <w:rsid w:val="00F34593"/>
    <w:rsid w:val="00F35543"/>
    <w:rsid w:val="00F44DFD"/>
    <w:rsid w:val="00F46443"/>
    <w:rsid w:val="00F47137"/>
    <w:rsid w:val="00F50092"/>
    <w:rsid w:val="00F502B0"/>
    <w:rsid w:val="00F52B0D"/>
    <w:rsid w:val="00F606C8"/>
    <w:rsid w:val="00F60FA4"/>
    <w:rsid w:val="00F64397"/>
    <w:rsid w:val="00F648AD"/>
    <w:rsid w:val="00F66EF6"/>
    <w:rsid w:val="00F72602"/>
    <w:rsid w:val="00F74D46"/>
    <w:rsid w:val="00F833A2"/>
    <w:rsid w:val="00F8706E"/>
    <w:rsid w:val="00F8728E"/>
    <w:rsid w:val="00F93678"/>
    <w:rsid w:val="00F97184"/>
    <w:rsid w:val="00F97377"/>
    <w:rsid w:val="00F975F8"/>
    <w:rsid w:val="00FA31FE"/>
    <w:rsid w:val="00FA4FB4"/>
    <w:rsid w:val="00FB7CF6"/>
    <w:rsid w:val="00FC1846"/>
    <w:rsid w:val="00FC1BCD"/>
    <w:rsid w:val="00FC3F03"/>
    <w:rsid w:val="00FC55E6"/>
    <w:rsid w:val="00FC7AD8"/>
    <w:rsid w:val="00FD45CE"/>
    <w:rsid w:val="00FD4B0F"/>
    <w:rsid w:val="00FD5F91"/>
    <w:rsid w:val="00FD6178"/>
    <w:rsid w:val="00FE4465"/>
    <w:rsid w:val="00FF1276"/>
    <w:rsid w:val="00FF1B53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C50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395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2B6CDF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DDDDDD" w:themeColor="accent1"/>
      <w:sz w:val="18"/>
    </w:rPr>
  </w:style>
  <w:style w:type="paragraph" w:styleId="Heading2">
    <w:name w:val="heading 2"/>
    <w:basedOn w:val="Normal"/>
    <w:next w:val="BodyText"/>
    <w:link w:val="Heading2Char"/>
    <w:rsid w:val="007F4AE1"/>
    <w:pPr>
      <w:keepNext/>
      <w:keepLines/>
      <w:tabs>
        <w:tab w:val="right" w:pos="8640"/>
      </w:tabs>
      <w:spacing w:after="100"/>
      <w:outlineLvl w:val="1"/>
    </w:pPr>
    <w:rPr>
      <w:rFonts w:asciiTheme="majorHAnsi" w:eastAsiaTheme="majorEastAsia" w:hAnsiTheme="majorHAnsi" w:cstheme="majorBidi"/>
      <w:bCs/>
      <w:color w:val="000000" w:themeColor="text2"/>
      <w:sz w:val="1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D333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18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F0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1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  <w:sz w:val="20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15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1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15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15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CDF"/>
    <w:rPr>
      <w:rFonts w:asciiTheme="majorHAnsi" w:eastAsiaTheme="majorEastAsia" w:hAnsiTheme="majorHAnsi" w:cstheme="majorBidi"/>
      <w:b/>
      <w:bCs/>
      <w:color w:val="DDDDDD" w:themeColor="accent1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7F4AE1"/>
    <w:rPr>
      <w:rFonts w:asciiTheme="majorHAnsi" w:eastAsiaTheme="majorEastAsia" w:hAnsiTheme="majorHAnsi" w:cstheme="majorBidi"/>
      <w:bCs/>
      <w:color w:val="000000" w:themeColor="text2"/>
      <w:sz w:val="18"/>
      <w:szCs w:val="20"/>
    </w:rPr>
  </w:style>
  <w:style w:type="paragraph" w:styleId="Header">
    <w:name w:val="header"/>
    <w:basedOn w:val="Normal"/>
    <w:link w:val="HeaderChar"/>
    <w:rsid w:val="00F015DE"/>
    <w:pPr>
      <w:tabs>
        <w:tab w:val="center" w:pos="4680"/>
        <w:tab w:val="right" w:pos="9360"/>
      </w:tabs>
      <w:spacing w:after="200"/>
    </w:pPr>
    <w:rPr>
      <w:rFonts w:asciiTheme="minorHAnsi" w:hAnsiTheme="minorHAnsi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rsid w:val="00F015DE"/>
    <w:rPr>
      <w:sz w:val="20"/>
    </w:rPr>
  </w:style>
  <w:style w:type="paragraph" w:styleId="Footer">
    <w:name w:val="footer"/>
    <w:basedOn w:val="Normal"/>
    <w:link w:val="FooterChar"/>
    <w:rsid w:val="00F015DE"/>
    <w:pPr>
      <w:tabs>
        <w:tab w:val="center" w:pos="4680"/>
        <w:tab w:val="right" w:pos="9360"/>
      </w:tabs>
      <w:spacing w:before="200"/>
      <w:jc w:val="right"/>
    </w:pPr>
    <w:rPr>
      <w:rFonts w:asciiTheme="minorHAnsi" w:hAnsiTheme="minorHAnsi" w:cstheme="minorBidi"/>
      <w:b/>
      <w:color w:val="DDDDDD" w:themeColor="accent1"/>
      <w:sz w:val="20"/>
      <w:szCs w:val="22"/>
    </w:rPr>
  </w:style>
  <w:style w:type="character" w:customStyle="1" w:styleId="FooterChar">
    <w:name w:val="Footer Char"/>
    <w:basedOn w:val="DefaultParagraphFont"/>
    <w:link w:val="Footer"/>
    <w:rsid w:val="00F015DE"/>
    <w:rPr>
      <w:b/>
      <w:color w:val="DDDDDD" w:themeColor="accent1"/>
      <w:sz w:val="20"/>
    </w:rPr>
  </w:style>
  <w:style w:type="paragraph" w:styleId="Title">
    <w:name w:val="Title"/>
    <w:basedOn w:val="Normal"/>
    <w:next w:val="Normal"/>
    <w:link w:val="TitleChar"/>
    <w:rsid w:val="00620EA4"/>
    <w:pPr>
      <w:spacing w:after="120"/>
    </w:pPr>
    <w:rPr>
      <w:rFonts w:asciiTheme="majorHAnsi" w:eastAsiaTheme="majorEastAsia" w:hAnsiTheme="majorHAnsi" w:cstheme="majorBidi"/>
      <w:color w:val="DDDDDD" w:themeColor="accent1"/>
      <w:sz w:val="72"/>
      <w:szCs w:val="36"/>
    </w:rPr>
  </w:style>
  <w:style w:type="character" w:customStyle="1" w:styleId="TitleChar">
    <w:name w:val="Title Char"/>
    <w:basedOn w:val="DefaultParagraphFont"/>
    <w:link w:val="Title"/>
    <w:rsid w:val="00620EA4"/>
    <w:rPr>
      <w:rFonts w:asciiTheme="majorHAnsi" w:eastAsiaTheme="majorEastAsia" w:hAnsiTheme="majorHAnsi" w:cstheme="majorBidi"/>
      <w:color w:val="DDDDDD" w:themeColor="accent1"/>
      <w:sz w:val="72"/>
      <w:szCs w:val="36"/>
    </w:rPr>
  </w:style>
  <w:style w:type="paragraph" w:customStyle="1" w:styleId="ContactDetails">
    <w:name w:val="Contact Details"/>
    <w:basedOn w:val="Normal"/>
    <w:rsid w:val="00691707"/>
    <w:rPr>
      <w:rFonts w:asciiTheme="minorHAnsi" w:hAnsiTheme="minorHAnsi" w:cstheme="minorBidi"/>
      <w:color w:val="7F7F7F" w:themeColor="text1" w:themeTint="80"/>
      <w:sz w:val="16"/>
      <w:szCs w:val="18"/>
    </w:rPr>
  </w:style>
  <w:style w:type="paragraph" w:customStyle="1" w:styleId="Initials">
    <w:name w:val="Initials"/>
    <w:basedOn w:val="Normal"/>
    <w:rsid w:val="00F606C8"/>
    <w:pPr>
      <w:ind w:left="-29"/>
    </w:pPr>
    <w:rPr>
      <w:rFonts w:asciiTheme="minorHAnsi" w:hAnsiTheme="minorHAnsi" w:cstheme="minorBidi"/>
      <w:b/>
      <w:color w:val="FFFFFF" w:themeColor="background1"/>
      <w:sz w:val="88"/>
      <w:szCs w:val="22"/>
    </w:rPr>
  </w:style>
  <w:style w:type="paragraph" w:styleId="BodyText">
    <w:name w:val="Body Text"/>
    <w:basedOn w:val="Normal"/>
    <w:link w:val="BodyTextChar"/>
    <w:rsid w:val="007F4AE1"/>
    <w:pPr>
      <w:spacing w:after="180"/>
    </w:pPr>
    <w:rPr>
      <w:rFonts w:asciiTheme="minorHAnsi" w:hAnsiTheme="minorHAnsi" w:cstheme="minorBidi"/>
      <w:color w:val="7F7F7F" w:themeColor="text1" w:themeTint="80"/>
      <w:sz w:val="18"/>
      <w:szCs w:val="22"/>
    </w:rPr>
  </w:style>
  <w:style w:type="character" w:customStyle="1" w:styleId="BodyTextChar">
    <w:name w:val="Body Text Char"/>
    <w:basedOn w:val="DefaultParagraphFont"/>
    <w:link w:val="BodyText"/>
    <w:rsid w:val="007F4AE1"/>
    <w:rPr>
      <w:color w:val="7F7F7F" w:themeColor="text1" w:themeTint="8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15D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015DE"/>
  </w:style>
  <w:style w:type="paragraph" w:styleId="BlockText">
    <w:name w:val="Block Text"/>
    <w:basedOn w:val="Normal"/>
    <w:semiHidden/>
    <w:unhideWhenUsed/>
    <w:rsid w:val="00F015DE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F015D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15D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015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015DE"/>
    <w:rPr>
      <w:color w:val="7F7F7F" w:themeColor="text1" w:themeTint="80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F015D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015D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015D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015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15D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015D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015DE"/>
    <w:pPr>
      <w:spacing w:after="200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015D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015D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015D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5D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015DE"/>
  </w:style>
  <w:style w:type="character" w:customStyle="1" w:styleId="DateChar">
    <w:name w:val="Date Char"/>
    <w:basedOn w:val="DefaultParagraphFont"/>
    <w:link w:val="Date"/>
    <w:semiHidden/>
    <w:rsid w:val="00F015D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15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015DE"/>
  </w:style>
  <w:style w:type="character" w:customStyle="1" w:styleId="E-mailSignatureChar">
    <w:name w:val="E-mail Signature Char"/>
    <w:basedOn w:val="DefaultParagraphFont"/>
    <w:link w:val="E-mailSignature"/>
    <w:semiHidden/>
    <w:rsid w:val="00F015D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015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15D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015D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015D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15D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D333B"/>
    <w:rPr>
      <w:rFonts w:asciiTheme="majorHAnsi" w:eastAsiaTheme="majorEastAsia" w:hAnsiTheme="majorHAnsi" w:cstheme="majorBidi"/>
      <w:b/>
      <w:bCs/>
      <w:color w:val="DDDDDD" w:themeColor="accent1"/>
      <w:sz w:val="18"/>
    </w:rPr>
  </w:style>
  <w:style w:type="character" w:customStyle="1" w:styleId="Heading4Char">
    <w:name w:val="Heading 4 Char"/>
    <w:basedOn w:val="DefaultParagraphFont"/>
    <w:link w:val="Heading4"/>
    <w:rsid w:val="00F015DE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015DE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015DE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015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015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015D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015D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015D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015DE"/>
    <w:pPr>
      <w:ind w:left="200" w:hanging="200"/>
    </w:pPr>
    <w:rPr>
      <w:rFonts w:asciiTheme="minorHAnsi" w:hAnsiTheme="minorHAnsi" w:cstheme="minorBidi"/>
      <w:sz w:val="20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F015D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015D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015D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015D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015D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015D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015D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015D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015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015DE"/>
    <w:pPr>
      <w:pBdr>
        <w:bottom w:val="single" w:sz="4" w:space="4" w:color="DDDDDD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DDDDDD" w:themeColor="accent1"/>
      <w:sz w:val="20"/>
      <w:szCs w:val="22"/>
    </w:rPr>
  </w:style>
  <w:style w:type="character" w:customStyle="1" w:styleId="IntenseQuoteChar">
    <w:name w:val="Intense Quote Char"/>
    <w:basedOn w:val="DefaultParagraphFont"/>
    <w:link w:val="IntenseQuote"/>
    <w:rsid w:val="00F015DE"/>
    <w:rPr>
      <w:b/>
      <w:bCs/>
      <w:i/>
      <w:iCs/>
      <w:color w:val="DDDDDD" w:themeColor="accent1"/>
      <w:sz w:val="20"/>
    </w:rPr>
  </w:style>
  <w:style w:type="paragraph" w:styleId="List">
    <w:name w:val="List"/>
    <w:basedOn w:val="Normal"/>
    <w:semiHidden/>
    <w:unhideWhenUsed/>
    <w:rsid w:val="00F015DE"/>
    <w:pPr>
      <w:ind w:left="360" w:hanging="360"/>
      <w:contextualSpacing/>
    </w:pPr>
    <w:rPr>
      <w:rFonts w:asciiTheme="minorHAnsi" w:hAnsiTheme="minorHAnsi" w:cstheme="minorBidi"/>
      <w:sz w:val="20"/>
      <w:szCs w:val="22"/>
    </w:rPr>
  </w:style>
  <w:style w:type="paragraph" w:styleId="List2">
    <w:name w:val="List 2"/>
    <w:basedOn w:val="Normal"/>
    <w:semiHidden/>
    <w:unhideWhenUsed/>
    <w:rsid w:val="00F015D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015D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015D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015D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015DE"/>
    <w:pPr>
      <w:numPr>
        <w:numId w:val="1"/>
      </w:numPr>
      <w:contextualSpacing/>
    </w:pPr>
    <w:rPr>
      <w:rFonts w:asciiTheme="minorHAnsi" w:hAnsiTheme="minorHAnsi" w:cstheme="minorBidi"/>
      <w:sz w:val="20"/>
      <w:szCs w:val="22"/>
    </w:rPr>
  </w:style>
  <w:style w:type="paragraph" w:styleId="ListBullet2">
    <w:name w:val="List Bullet 2"/>
    <w:basedOn w:val="Normal"/>
    <w:semiHidden/>
    <w:unhideWhenUsed/>
    <w:rsid w:val="00F015D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015D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015D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015D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015D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015D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015D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015D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015D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015D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015D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015D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015D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015D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015DE"/>
    <w:pPr>
      <w:ind w:left="720"/>
      <w:contextualSpacing/>
    </w:pPr>
    <w:rPr>
      <w:rFonts w:asciiTheme="minorHAnsi" w:hAnsiTheme="minorHAnsi" w:cstheme="minorBidi"/>
      <w:sz w:val="20"/>
      <w:szCs w:val="22"/>
    </w:rPr>
  </w:style>
  <w:style w:type="paragraph" w:styleId="MacroText">
    <w:name w:val="macro"/>
    <w:link w:val="MacroTextChar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015D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015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015DE"/>
    <w:rPr>
      <w:sz w:val="20"/>
    </w:rPr>
  </w:style>
  <w:style w:type="paragraph" w:styleId="NormalWeb">
    <w:name w:val="Normal (Web)"/>
    <w:basedOn w:val="Normal"/>
    <w:unhideWhenUsed/>
    <w:rsid w:val="00F015DE"/>
  </w:style>
  <w:style w:type="paragraph" w:styleId="NormalIndent">
    <w:name w:val="Normal Indent"/>
    <w:basedOn w:val="Normal"/>
    <w:semiHidden/>
    <w:unhideWhenUsed/>
    <w:rsid w:val="00F015DE"/>
    <w:pPr>
      <w:ind w:left="720"/>
    </w:pPr>
    <w:rPr>
      <w:rFonts w:asciiTheme="minorHAnsi" w:hAnsiTheme="minorHAnsi" w:cstheme="minorBidi"/>
      <w:sz w:val="20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F015DE"/>
  </w:style>
  <w:style w:type="character" w:customStyle="1" w:styleId="NoteHeadingChar">
    <w:name w:val="Note Heading Char"/>
    <w:basedOn w:val="DefaultParagraphFont"/>
    <w:link w:val="NoteHeading"/>
    <w:semiHidden/>
    <w:rsid w:val="00F015D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015D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015DE"/>
    <w:rPr>
      <w:rFonts w:asciiTheme="minorHAnsi" w:hAnsiTheme="minorHAnsi" w:cstheme="minorBidi"/>
      <w:i/>
      <w:iCs/>
      <w:color w:val="000000" w:themeColor="text1"/>
      <w:sz w:val="20"/>
      <w:szCs w:val="22"/>
    </w:rPr>
  </w:style>
  <w:style w:type="character" w:customStyle="1" w:styleId="QuoteChar">
    <w:name w:val="Quote Char"/>
    <w:basedOn w:val="DefaultParagraphFont"/>
    <w:link w:val="Quote"/>
    <w:rsid w:val="00F015D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015DE"/>
  </w:style>
  <w:style w:type="character" w:customStyle="1" w:styleId="SalutationChar">
    <w:name w:val="Salutation Char"/>
    <w:basedOn w:val="DefaultParagraphFont"/>
    <w:link w:val="Salutation"/>
    <w:semiHidden/>
    <w:rsid w:val="00F015D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015D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015D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015DE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015DE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015D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015DE"/>
  </w:style>
  <w:style w:type="paragraph" w:styleId="TOAHeading">
    <w:name w:val="toa heading"/>
    <w:basedOn w:val="Normal"/>
    <w:next w:val="Normal"/>
    <w:semiHidden/>
    <w:unhideWhenUsed/>
    <w:rsid w:val="00F015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F015DE"/>
    <w:pPr>
      <w:spacing w:before="120"/>
    </w:pPr>
    <w:rPr>
      <w:rFonts w:asciiTheme="minorHAnsi" w:hAnsiTheme="minorHAnsi" w:cstheme="minorBidi"/>
      <w:b/>
    </w:rPr>
  </w:style>
  <w:style w:type="paragraph" w:styleId="TOC2">
    <w:name w:val="toc 2"/>
    <w:basedOn w:val="Normal"/>
    <w:next w:val="Normal"/>
    <w:autoRedefine/>
    <w:uiPriority w:val="39"/>
    <w:unhideWhenUsed/>
    <w:rsid w:val="00F015DE"/>
    <w:pPr>
      <w:ind w:left="200"/>
    </w:pPr>
    <w:rPr>
      <w:rFonts w:asciiTheme="minorHAnsi" w:hAnsiTheme="minorHAnsi" w:cstheme="minorBidi"/>
      <w:b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F015DE"/>
    <w:pPr>
      <w:ind w:left="400"/>
    </w:pPr>
    <w:rPr>
      <w:sz w:val="22"/>
    </w:rPr>
  </w:style>
  <w:style w:type="paragraph" w:styleId="TOC4">
    <w:name w:val="toc 4"/>
    <w:basedOn w:val="Normal"/>
    <w:next w:val="Normal"/>
    <w:autoRedefine/>
    <w:semiHidden/>
    <w:unhideWhenUsed/>
    <w:rsid w:val="00F015DE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semiHidden/>
    <w:unhideWhenUsed/>
    <w:rsid w:val="00F015DE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semiHidden/>
    <w:unhideWhenUsed/>
    <w:rsid w:val="00F015DE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semiHidden/>
    <w:unhideWhenUsed/>
    <w:rsid w:val="00F015DE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semiHidden/>
    <w:unhideWhenUsed/>
    <w:rsid w:val="00F015DE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semiHidden/>
    <w:unhideWhenUsed/>
    <w:rsid w:val="00F015DE"/>
    <w:pPr>
      <w:ind w:left="1600"/>
    </w:pPr>
    <w:rPr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015DE"/>
    <w:pPr>
      <w:outlineLvl w:val="9"/>
    </w:pPr>
    <w:rPr>
      <w:color w:val="A5A5A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20E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Between">
    <w:name w:val="Space Between"/>
    <w:basedOn w:val="Normal"/>
    <w:rsid w:val="009F19E9"/>
    <w:rPr>
      <w:rFonts w:asciiTheme="minorHAnsi" w:hAnsiTheme="minorHAnsi" w:cstheme="minorBidi"/>
      <w:sz w:val="36"/>
      <w:szCs w:val="22"/>
    </w:rPr>
  </w:style>
  <w:style w:type="paragraph" w:customStyle="1" w:styleId="C06FE07EC5446A45BB8E530E719B707D">
    <w:name w:val="C06FE07EC5446A45BB8E530E719B707D"/>
    <w:rsid w:val="007F4AE1"/>
    <w:rPr>
      <w:sz w:val="24"/>
      <w:szCs w:val="24"/>
    </w:rPr>
  </w:style>
  <w:style w:type="character" w:styleId="Strong">
    <w:name w:val="Strong"/>
    <w:qFormat/>
    <w:rsid w:val="00295C83"/>
    <w:rPr>
      <w:b/>
      <w:bCs/>
    </w:rPr>
  </w:style>
  <w:style w:type="paragraph" w:customStyle="1" w:styleId="Default">
    <w:name w:val="Default"/>
    <w:rsid w:val="00295C8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8D3969"/>
    <w:rPr>
      <w:color w:val="5F5F5F" w:themeColor="hyperlink"/>
      <w:u w:val="single"/>
    </w:rPr>
  </w:style>
  <w:style w:type="character" w:customStyle="1" w:styleId="apple-style-span">
    <w:name w:val="apple-style-span"/>
    <w:basedOn w:val="DefaultParagraphFont"/>
    <w:rsid w:val="00AA1B26"/>
  </w:style>
  <w:style w:type="character" w:customStyle="1" w:styleId="apple-converted-space">
    <w:name w:val="apple-converted-space"/>
    <w:basedOn w:val="DefaultParagraphFont"/>
    <w:rsid w:val="00AA1B26"/>
  </w:style>
  <w:style w:type="character" w:styleId="FollowedHyperlink">
    <w:name w:val="FollowedHyperlink"/>
    <w:basedOn w:val="DefaultParagraphFont"/>
    <w:rsid w:val="00E327CB"/>
    <w:rPr>
      <w:color w:val="919191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02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immonos@wfu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Initials Resume 2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Initials Resume 2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B26D9-94EB-D648-8EB8-515EFC5E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2970</Words>
  <Characters>16932</Characters>
  <Application>Microsoft Macintosh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Omari Simmons</dc:creator>
  <cp:keywords/>
  <dc:description/>
  <cp:lastModifiedBy>Simmons, Omari S.</cp:lastModifiedBy>
  <cp:revision>2</cp:revision>
  <cp:lastPrinted>2018-09-25T23:04:00Z</cp:lastPrinted>
  <dcterms:created xsi:type="dcterms:W3CDTF">2018-10-15T01:13:00Z</dcterms:created>
  <dcterms:modified xsi:type="dcterms:W3CDTF">2018-10-15T01:13:00Z</dcterms:modified>
  <cp:category/>
</cp:coreProperties>
</file>